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D204" w14:textId="6D38B585" w:rsidR="00093FA9" w:rsidRDefault="00096AB7" w:rsidP="00093FA9">
      <w:pPr>
        <w:pStyle w:val="Heading1"/>
      </w:pPr>
      <w:r>
        <w:rPr>
          <w:color w:val="7E1144"/>
        </w:rPr>
        <w:t>Full-year</w:t>
      </w:r>
      <w:r w:rsidRPr="008F2224">
        <w:rPr>
          <w:color w:val="7E1144"/>
        </w:rPr>
        <w:t xml:space="preserve"> </w:t>
      </w:r>
      <w:r w:rsidR="00093FA9" w:rsidRPr="00096AB7">
        <w:rPr>
          <w:color w:val="7E1144"/>
        </w:rPr>
        <w:t>plan: Mathematics and Statistics, late level one</w:t>
      </w:r>
    </w:p>
    <w:p w14:paraId="4C988A4B" w14:textId="77777777" w:rsidR="00E276A4" w:rsidRPr="00E276A4" w:rsidRDefault="00E276A4" w:rsidP="00E276A4"/>
    <w:tbl>
      <w:tblPr>
        <w:tblStyle w:val="TableGrid"/>
        <w:tblW w:w="0" w:type="auto"/>
        <w:tblLook w:val="04A0" w:firstRow="1" w:lastRow="0" w:firstColumn="1" w:lastColumn="0" w:noHBand="0" w:noVBand="1"/>
      </w:tblPr>
      <w:tblGrid>
        <w:gridCol w:w="3588"/>
        <w:gridCol w:w="3589"/>
        <w:gridCol w:w="3588"/>
        <w:gridCol w:w="3589"/>
      </w:tblGrid>
      <w:tr w:rsidR="00046DC1" w14:paraId="1D77BA74" w14:textId="77777777" w:rsidTr="00046DC1">
        <w:trPr>
          <w:trHeight w:val="648"/>
        </w:trPr>
        <w:tc>
          <w:tcPr>
            <w:tcW w:w="3588" w:type="dxa"/>
          </w:tcPr>
          <w:p w14:paraId="3E44B5B9" w14:textId="3B81998C" w:rsidR="00046DC1" w:rsidRPr="00B815B5" w:rsidRDefault="00046DC1" w:rsidP="00E276A4">
            <w:pPr>
              <w:spacing w:before="120" w:after="120"/>
              <w:jc w:val="center"/>
              <w:rPr>
                <w:sz w:val="24"/>
                <w:szCs w:val="24"/>
              </w:rPr>
            </w:pPr>
            <w:r w:rsidRPr="00B815B5">
              <w:rPr>
                <w:sz w:val="24"/>
                <w:szCs w:val="24"/>
              </w:rPr>
              <w:t>Term One</w:t>
            </w:r>
          </w:p>
        </w:tc>
        <w:tc>
          <w:tcPr>
            <w:tcW w:w="3589" w:type="dxa"/>
          </w:tcPr>
          <w:p w14:paraId="6CFC5804" w14:textId="2B394005" w:rsidR="00046DC1" w:rsidRPr="00B815B5" w:rsidRDefault="00046DC1" w:rsidP="00E276A4">
            <w:pPr>
              <w:spacing w:before="120" w:after="120"/>
              <w:jc w:val="center"/>
              <w:rPr>
                <w:sz w:val="24"/>
                <w:szCs w:val="24"/>
              </w:rPr>
            </w:pPr>
            <w:r w:rsidRPr="00B815B5">
              <w:rPr>
                <w:sz w:val="24"/>
                <w:szCs w:val="24"/>
              </w:rPr>
              <w:t>Term Two</w:t>
            </w:r>
          </w:p>
        </w:tc>
        <w:tc>
          <w:tcPr>
            <w:tcW w:w="3588" w:type="dxa"/>
          </w:tcPr>
          <w:p w14:paraId="27C97B2E" w14:textId="392CAE0A" w:rsidR="00046DC1" w:rsidRPr="00B815B5" w:rsidRDefault="00046DC1" w:rsidP="00E276A4">
            <w:pPr>
              <w:spacing w:before="120" w:after="120"/>
              <w:jc w:val="center"/>
              <w:rPr>
                <w:sz w:val="24"/>
                <w:szCs w:val="24"/>
              </w:rPr>
            </w:pPr>
            <w:r w:rsidRPr="00B815B5">
              <w:rPr>
                <w:sz w:val="24"/>
                <w:szCs w:val="24"/>
              </w:rPr>
              <w:t>Term Three</w:t>
            </w:r>
          </w:p>
        </w:tc>
        <w:tc>
          <w:tcPr>
            <w:tcW w:w="3589" w:type="dxa"/>
          </w:tcPr>
          <w:p w14:paraId="77875293" w14:textId="6681F7DE" w:rsidR="00046DC1" w:rsidRPr="00B815B5" w:rsidRDefault="00046DC1" w:rsidP="00E276A4">
            <w:pPr>
              <w:spacing w:before="120" w:after="120"/>
              <w:jc w:val="center"/>
              <w:rPr>
                <w:sz w:val="24"/>
                <w:szCs w:val="24"/>
              </w:rPr>
            </w:pPr>
            <w:r w:rsidRPr="00B815B5">
              <w:rPr>
                <w:sz w:val="24"/>
                <w:szCs w:val="24"/>
              </w:rPr>
              <w:t>Term Four</w:t>
            </w:r>
          </w:p>
        </w:tc>
      </w:tr>
      <w:tr w:rsidR="00046DC1" w14:paraId="511C068B" w14:textId="77777777" w:rsidTr="00046DC1">
        <w:trPr>
          <w:trHeight w:val="630"/>
        </w:trPr>
        <w:tc>
          <w:tcPr>
            <w:tcW w:w="3588" w:type="dxa"/>
            <w:vMerge w:val="restart"/>
            <w:shd w:val="clear" w:color="auto" w:fill="auto"/>
          </w:tcPr>
          <w:p w14:paraId="676C25CC" w14:textId="77777777" w:rsidR="00046DC1" w:rsidRDefault="00000000" w:rsidP="00707B89">
            <w:pPr>
              <w:spacing w:before="120" w:after="120"/>
              <w:jc w:val="center"/>
            </w:pPr>
            <w:hyperlink r:id="rId8" w:history="1">
              <w:r w:rsidR="00046DC1" w:rsidRPr="00136112">
                <w:rPr>
                  <w:rStyle w:val="Hyperlink"/>
                </w:rPr>
                <w:t>All about us</w:t>
              </w:r>
            </w:hyperlink>
          </w:p>
          <w:p w14:paraId="3D547E1A" w14:textId="3AF2EFC2" w:rsidR="00046DC1" w:rsidRDefault="00046DC1" w:rsidP="00707B89">
            <w:pPr>
              <w:spacing w:before="120" w:after="120"/>
              <w:jc w:val="center"/>
            </w:pPr>
            <w:r>
              <w:t>(Thematic unit)</w:t>
            </w:r>
          </w:p>
        </w:tc>
        <w:tc>
          <w:tcPr>
            <w:tcW w:w="3589" w:type="dxa"/>
            <w:vMerge w:val="restart"/>
            <w:shd w:val="clear" w:color="auto" w:fill="auto"/>
          </w:tcPr>
          <w:p w14:paraId="0F3927B2" w14:textId="29B2DE52" w:rsidR="00046DC1" w:rsidRDefault="00000000" w:rsidP="002210B4">
            <w:pPr>
              <w:spacing w:before="120" w:after="120"/>
              <w:jc w:val="center"/>
            </w:pPr>
            <w:hyperlink r:id="rId9" w:history="1">
              <w:r w:rsidR="00046DC1" w:rsidRPr="00BA5D52">
                <w:rPr>
                  <w:rStyle w:val="Hyperlink"/>
                </w:rPr>
                <w:t>I like t</w:t>
              </w:r>
            </w:hyperlink>
            <w:r w:rsidR="00B325C4">
              <w:rPr>
                <w:rStyle w:val="Hyperlink"/>
              </w:rPr>
              <w:t>oys</w:t>
            </w:r>
          </w:p>
          <w:p w14:paraId="6D7670C0" w14:textId="41AE6116" w:rsidR="00046DC1" w:rsidRDefault="00046DC1" w:rsidP="002210B4">
            <w:pPr>
              <w:spacing w:before="120" w:after="120"/>
              <w:jc w:val="center"/>
            </w:pPr>
            <w:r>
              <w:t>(Sorting/displaying/describing data)</w:t>
            </w:r>
          </w:p>
        </w:tc>
        <w:tc>
          <w:tcPr>
            <w:tcW w:w="3588" w:type="dxa"/>
            <w:vMerge w:val="restart"/>
          </w:tcPr>
          <w:p w14:paraId="682A6A96" w14:textId="28CD014D" w:rsidR="00046DC1" w:rsidRDefault="00000000" w:rsidP="00E276A4">
            <w:pPr>
              <w:spacing w:before="120" w:after="120"/>
              <w:jc w:val="center"/>
            </w:pPr>
            <w:hyperlink r:id="rId10" w:history="1">
              <w:r w:rsidR="00046DC1" w:rsidRPr="004E74E0">
                <w:rPr>
                  <w:rStyle w:val="Hyperlink"/>
                </w:rPr>
                <w:t>Arty shapes</w:t>
              </w:r>
            </w:hyperlink>
          </w:p>
          <w:p w14:paraId="73D076A0" w14:textId="2D5FE75B" w:rsidR="00046DC1" w:rsidRDefault="00046DC1" w:rsidP="00E276A4">
            <w:pPr>
              <w:spacing w:before="120" w:after="120"/>
              <w:jc w:val="center"/>
            </w:pPr>
            <w:r>
              <w:t>(Naming/describing shapes)</w:t>
            </w:r>
          </w:p>
        </w:tc>
        <w:tc>
          <w:tcPr>
            <w:tcW w:w="3589" w:type="dxa"/>
            <w:vMerge w:val="restart"/>
          </w:tcPr>
          <w:p w14:paraId="6ACD094D" w14:textId="353521C5" w:rsidR="00046DC1" w:rsidRDefault="00000000" w:rsidP="00E276A4">
            <w:pPr>
              <w:spacing w:before="120" w:after="120"/>
              <w:jc w:val="center"/>
            </w:pPr>
            <w:hyperlink r:id="rId11" w:history="1">
              <w:r w:rsidR="00046DC1" w:rsidRPr="004E74E0">
                <w:rPr>
                  <w:rStyle w:val="Hyperlink"/>
                </w:rPr>
                <w:t xml:space="preserve">Lonely </w:t>
              </w:r>
              <w:r w:rsidR="001C503B">
                <w:rPr>
                  <w:rStyle w:val="Hyperlink"/>
                </w:rPr>
                <w:t>kiwi</w:t>
              </w:r>
            </w:hyperlink>
          </w:p>
          <w:p w14:paraId="1F63C227" w14:textId="48F89175" w:rsidR="00046DC1" w:rsidRDefault="00046DC1" w:rsidP="00E276A4">
            <w:pPr>
              <w:spacing w:before="120" w:after="120"/>
              <w:jc w:val="center"/>
            </w:pPr>
            <w:r>
              <w:t>(Probability – language/outcomes)</w:t>
            </w:r>
          </w:p>
        </w:tc>
      </w:tr>
      <w:tr w:rsidR="00046DC1" w14:paraId="0BD7A75E" w14:textId="77777777" w:rsidTr="00046DC1">
        <w:trPr>
          <w:trHeight w:val="611"/>
        </w:trPr>
        <w:tc>
          <w:tcPr>
            <w:tcW w:w="3588" w:type="dxa"/>
            <w:vMerge/>
            <w:shd w:val="clear" w:color="auto" w:fill="auto"/>
          </w:tcPr>
          <w:p w14:paraId="4F67C31D" w14:textId="77777777" w:rsidR="00046DC1" w:rsidRDefault="00046DC1" w:rsidP="00E276A4">
            <w:pPr>
              <w:spacing w:before="120" w:after="120"/>
              <w:jc w:val="center"/>
            </w:pPr>
          </w:p>
        </w:tc>
        <w:tc>
          <w:tcPr>
            <w:tcW w:w="3589" w:type="dxa"/>
            <w:vMerge/>
            <w:shd w:val="clear" w:color="auto" w:fill="auto"/>
          </w:tcPr>
          <w:p w14:paraId="5AB50241" w14:textId="77777777" w:rsidR="00046DC1" w:rsidRDefault="00046DC1" w:rsidP="00E276A4">
            <w:pPr>
              <w:spacing w:before="120" w:after="120"/>
              <w:jc w:val="center"/>
            </w:pPr>
          </w:p>
        </w:tc>
        <w:tc>
          <w:tcPr>
            <w:tcW w:w="3588" w:type="dxa"/>
            <w:vMerge/>
          </w:tcPr>
          <w:p w14:paraId="6D2465D5" w14:textId="77777777" w:rsidR="00046DC1" w:rsidRDefault="00046DC1" w:rsidP="00E276A4">
            <w:pPr>
              <w:spacing w:before="120" w:after="120"/>
              <w:jc w:val="center"/>
            </w:pPr>
          </w:p>
        </w:tc>
        <w:tc>
          <w:tcPr>
            <w:tcW w:w="3589" w:type="dxa"/>
            <w:vMerge/>
          </w:tcPr>
          <w:p w14:paraId="28637DA3" w14:textId="77777777" w:rsidR="00046DC1" w:rsidRDefault="00046DC1" w:rsidP="00E276A4">
            <w:pPr>
              <w:spacing w:before="120" w:after="120"/>
              <w:jc w:val="center"/>
            </w:pPr>
          </w:p>
        </w:tc>
      </w:tr>
      <w:tr w:rsidR="00046DC1" w14:paraId="7019D7F9" w14:textId="77777777" w:rsidTr="00046DC1">
        <w:trPr>
          <w:trHeight w:val="630"/>
        </w:trPr>
        <w:tc>
          <w:tcPr>
            <w:tcW w:w="3588" w:type="dxa"/>
            <w:vMerge w:val="restart"/>
            <w:shd w:val="clear" w:color="auto" w:fill="auto"/>
          </w:tcPr>
          <w:p w14:paraId="68EA0082" w14:textId="71206DD1" w:rsidR="00046DC1" w:rsidRDefault="00000000" w:rsidP="002210B4">
            <w:pPr>
              <w:spacing w:before="120" w:after="120"/>
              <w:jc w:val="center"/>
            </w:pPr>
            <w:hyperlink r:id="rId12" w:history="1">
              <w:r w:rsidR="00046DC1" w:rsidRPr="00660961">
                <w:rPr>
                  <w:rStyle w:val="Hyperlink"/>
                </w:rPr>
                <w:t>Making ten</w:t>
              </w:r>
            </w:hyperlink>
          </w:p>
          <w:p w14:paraId="07B2228E" w14:textId="23C1615E" w:rsidR="00046DC1" w:rsidRDefault="00046DC1" w:rsidP="002210B4">
            <w:pPr>
              <w:spacing w:before="120" w:after="120"/>
              <w:jc w:val="center"/>
            </w:pPr>
            <w:r>
              <w:t>(Numbers to ten)</w:t>
            </w:r>
          </w:p>
        </w:tc>
        <w:tc>
          <w:tcPr>
            <w:tcW w:w="3589" w:type="dxa"/>
            <w:vMerge w:val="restart"/>
            <w:shd w:val="clear" w:color="auto" w:fill="auto"/>
          </w:tcPr>
          <w:p w14:paraId="615CD893" w14:textId="7DA7C454" w:rsidR="00046DC1" w:rsidRDefault="00000000" w:rsidP="002210B4">
            <w:pPr>
              <w:spacing w:before="120" w:after="120"/>
              <w:jc w:val="center"/>
            </w:pPr>
            <w:hyperlink r:id="rId13" w:history="1">
              <w:r w:rsidR="005B538B">
                <w:rPr>
                  <w:rStyle w:val="Hyperlink"/>
                </w:rPr>
                <w:t>Gecko feet</w:t>
              </w:r>
            </w:hyperlink>
          </w:p>
          <w:p w14:paraId="57E4446D" w14:textId="599DCCED" w:rsidR="00046DC1" w:rsidRDefault="00046DC1" w:rsidP="00AA7A36">
            <w:pPr>
              <w:spacing w:before="120" w:after="120"/>
              <w:jc w:val="center"/>
            </w:pPr>
            <w:r>
              <w:t>(Skip counting)</w:t>
            </w:r>
          </w:p>
        </w:tc>
        <w:tc>
          <w:tcPr>
            <w:tcW w:w="3588" w:type="dxa"/>
            <w:vMerge w:val="restart"/>
          </w:tcPr>
          <w:p w14:paraId="1FF391C8" w14:textId="35C05381" w:rsidR="00046DC1" w:rsidRDefault="00000000" w:rsidP="002210B4">
            <w:pPr>
              <w:spacing w:before="120" w:after="120"/>
              <w:jc w:val="center"/>
            </w:pPr>
            <w:hyperlink r:id="rId14" w:history="1">
              <w:r w:rsidR="00046DC1" w:rsidRPr="004E74E0">
                <w:rPr>
                  <w:rStyle w:val="Hyperlink"/>
                </w:rPr>
                <w:t>Teen numbers (building with ten)</w:t>
              </w:r>
            </w:hyperlink>
          </w:p>
          <w:p w14:paraId="6B21F531" w14:textId="3C37F11C" w:rsidR="00046DC1" w:rsidRDefault="00046DC1" w:rsidP="002210B4">
            <w:pPr>
              <w:spacing w:before="120" w:after="120"/>
              <w:jc w:val="center"/>
            </w:pPr>
            <w:r>
              <w:t>(Place value – teen numbrs)</w:t>
            </w:r>
          </w:p>
        </w:tc>
        <w:tc>
          <w:tcPr>
            <w:tcW w:w="3589" w:type="dxa"/>
            <w:vMerge w:val="restart"/>
          </w:tcPr>
          <w:p w14:paraId="0418BCC7" w14:textId="45967177" w:rsidR="00046DC1" w:rsidRDefault="00000000" w:rsidP="002210B4">
            <w:pPr>
              <w:spacing w:before="120" w:after="120"/>
              <w:jc w:val="center"/>
            </w:pPr>
            <w:hyperlink r:id="rId15" w:history="1">
              <w:r w:rsidR="00046DC1" w:rsidRPr="004E74E0">
                <w:rPr>
                  <w:rStyle w:val="Hyperlink"/>
                </w:rPr>
                <w:t>The teddy bears’ fraction picnic</w:t>
              </w:r>
            </w:hyperlink>
          </w:p>
          <w:p w14:paraId="10C852B6" w14:textId="60CDB645" w:rsidR="00046DC1" w:rsidRDefault="00046DC1" w:rsidP="002210B4">
            <w:pPr>
              <w:spacing w:before="120" w:after="120"/>
              <w:jc w:val="center"/>
            </w:pPr>
            <w:r>
              <w:t>(Fractions)</w:t>
            </w:r>
          </w:p>
        </w:tc>
      </w:tr>
      <w:tr w:rsidR="00046DC1" w14:paraId="7B182E7D" w14:textId="77777777" w:rsidTr="00046DC1">
        <w:trPr>
          <w:trHeight w:val="611"/>
        </w:trPr>
        <w:tc>
          <w:tcPr>
            <w:tcW w:w="3588" w:type="dxa"/>
            <w:vMerge/>
            <w:shd w:val="clear" w:color="auto" w:fill="auto"/>
          </w:tcPr>
          <w:p w14:paraId="70AED9A0" w14:textId="44CDA084" w:rsidR="00046DC1" w:rsidRDefault="00046DC1" w:rsidP="002210B4">
            <w:pPr>
              <w:spacing w:before="120" w:after="120"/>
              <w:jc w:val="center"/>
            </w:pPr>
          </w:p>
        </w:tc>
        <w:tc>
          <w:tcPr>
            <w:tcW w:w="3589" w:type="dxa"/>
            <w:vMerge/>
            <w:shd w:val="clear" w:color="auto" w:fill="auto"/>
          </w:tcPr>
          <w:p w14:paraId="7EDFC476" w14:textId="7348BB92" w:rsidR="00046DC1" w:rsidRDefault="00046DC1" w:rsidP="002210B4">
            <w:pPr>
              <w:spacing w:before="120" w:after="120"/>
              <w:jc w:val="center"/>
            </w:pPr>
          </w:p>
        </w:tc>
        <w:tc>
          <w:tcPr>
            <w:tcW w:w="3588" w:type="dxa"/>
            <w:vMerge/>
          </w:tcPr>
          <w:p w14:paraId="6980CE16" w14:textId="77777777" w:rsidR="00046DC1" w:rsidRDefault="00046DC1" w:rsidP="002210B4">
            <w:pPr>
              <w:spacing w:before="120" w:after="120"/>
              <w:jc w:val="center"/>
            </w:pPr>
          </w:p>
        </w:tc>
        <w:tc>
          <w:tcPr>
            <w:tcW w:w="3589" w:type="dxa"/>
            <w:vMerge/>
          </w:tcPr>
          <w:p w14:paraId="0D6F1F80" w14:textId="77777777" w:rsidR="00046DC1" w:rsidRDefault="00046DC1" w:rsidP="002210B4">
            <w:pPr>
              <w:spacing w:before="120" w:after="120"/>
              <w:jc w:val="center"/>
            </w:pPr>
          </w:p>
        </w:tc>
      </w:tr>
      <w:tr w:rsidR="00046DC1" w14:paraId="530ACF84" w14:textId="77777777" w:rsidTr="00046DC1">
        <w:trPr>
          <w:trHeight w:val="630"/>
        </w:trPr>
        <w:tc>
          <w:tcPr>
            <w:tcW w:w="3588" w:type="dxa"/>
            <w:vMerge w:val="restart"/>
            <w:shd w:val="clear" w:color="auto" w:fill="auto"/>
          </w:tcPr>
          <w:p w14:paraId="5072C84D" w14:textId="2CE17980" w:rsidR="00046DC1" w:rsidRDefault="00000000" w:rsidP="002210B4">
            <w:pPr>
              <w:spacing w:before="120" w:after="120"/>
              <w:jc w:val="center"/>
            </w:pPr>
            <w:hyperlink r:id="rId16" w:history="1">
              <w:r w:rsidR="00046DC1" w:rsidRPr="00660961">
                <w:rPr>
                  <w:rStyle w:val="Hyperlink"/>
                </w:rPr>
                <w:t>Teddy bears and friends</w:t>
              </w:r>
            </w:hyperlink>
          </w:p>
          <w:p w14:paraId="7C8AAF59" w14:textId="54C3EBAF" w:rsidR="00046DC1" w:rsidRDefault="00046DC1" w:rsidP="00660961">
            <w:pPr>
              <w:spacing w:before="120" w:after="120"/>
              <w:jc w:val="center"/>
            </w:pPr>
            <w:r>
              <w:t>(Measurement – length)</w:t>
            </w:r>
          </w:p>
        </w:tc>
        <w:tc>
          <w:tcPr>
            <w:tcW w:w="3589" w:type="dxa"/>
            <w:vMerge w:val="restart"/>
            <w:shd w:val="clear" w:color="auto" w:fill="auto"/>
          </w:tcPr>
          <w:p w14:paraId="76B95BE4" w14:textId="58BDEB91" w:rsidR="00046DC1" w:rsidRDefault="00000000" w:rsidP="00AA7A36">
            <w:pPr>
              <w:spacing w:before="120" w:after="120"/>
              <w:jc w:val="center"/>
            </w:pPr>
            <w:hyperlink r:id="rId17" w:history="1">
              <w:r w:rsidR="00046DC1" w:rsidRPr="00BA5D52">
                <w:rPr>
                  <w:rStyle w:val="Hyperlink"/>
                </w:rPr>
                <w:t>Equality and equations</w:t>
              </w:r>
            </w:hyperlink>
          </w:p>
          <w:p w14:paraId="6F75EE1A" w14:textId="3D76CC16" w:rsidR="00046DC1" w:rsidRDefault="00046DC1" w:rsidP="002210B4">
            <w:pPr>
              <w:spacing w:before="120" w:after="120"/>
              <w:jc w:val="center"/>
            </w:pPr>
            <w:r>
              <w:t>(Addition/subtraction/equality)</w:t>
            </w:r>
          </w:p>
        </w:tc>
        <w:tc>
          <w:tcPr>
            <w:tcW w:w="3588" w:type="dxa"/>
            <w:vMerge w:val="restart"/>
          </w:tcPr>
          <w:p w14:paraId="035C3AC0" w14:textId="47D88A1E" w:rsidR="00046DC1" w:rsidRDefault="00000000" w:rsidP="002210B4">
            <w:pPr>
              <w:spacing w:before="120" w:after="120"/>
              <w:jc w:val="center"/>
            </w:pPr>
            <w:hyperlink r:id="rId18" w:history="1">
              <w:r w:rsidR="00046DC1" w:rsidRPr="004E74E0">
                <w:rPr>
                  <w:rStyle w:val="Hyperlink"/>
                </w:rPr>
                <w:t>Seesaws</w:t>
              </w:r>
            </w:hyperlink>
          </w:p>
          <w:p w14:paraId="1A3C568E" w14:textId="1A3F31A1" w:rsidR="00046DC1" w:rsidRDefault="00046DC1" w:rsidP="002210B4">
            <w:pPr>
              <w:spacing w:before="120" w:after="120"/>
              <w:jc w:val="center"/>
            </w:pPr>
            <w:r>
              <w:t>(Measurement – mass)</w:t>
            </w:r>
          </w:p>
        </w:tc>
        <w:tc>
          <w:tcPr>
            <w:tcW w:w="3589" w:type="dxa"/>
            <w:vMerge w:val="restart"/>
          </w:tcPr>
          <w:p w14:paraId="096AC58A" w14:textId="17A1DD23" w:rsidR="00046DC1" w:rsidRDefault="00000000" w:rsidP="002210B4">
            <w:pPr>
              <w:spacing w:before="120" w:after="120"/>
              <w:jc w:val="center"/>
            </w:pPr>
            <w:hyperlink r:id="rId19" w:history="1">
              <w:r w:rsidR="00046DC1" w:rsidRPr="00BA5D52">
                <w:rPr>
                  <w:rStyle w:val="Hyperlink"/>
                </w:rPr>
                <w:t>Ways to add</w:t>
              </w:r>
            </w:hyperlink>
          </w:p>
          <w:p w14:paraId="17D149D9" w14:textId="47056A84" w:rsidR="00046DC1" w:rsidRDefault="00046DC1" w:rsidP="00AA7A36">
            <w:pPr>
              <w:spacing w:before="120" w:after="120"/>
              <w:jc w:val="center"/>
            </w:pPr>
            <w:r>
              <w:t>(Recording addition/subtraction)</w:t>
            </w:r>
          </w:p>
        </w:tc>
      </w:tr>
      <w:tr w:rsidR="00046DC1" w14:paraId="12B38463" w14:textId="77777777" w:rsidTr="00046DC1">
        <w:trPr>
          <w:trHeight w:val="630"/>
        </w:trPr>
        <w:tc>
          <w:tcPr>
            <w:tcW w:w="3588" w:type="dxa"/>
            <w:vMerge/>
            <w:shd w:val="clear" w:color="auto" w:fill="auto"/>
          </w:tcPr>
          <w:p w14:paraId="6CCE0654" w14:textId="1DC088B4" w:rsidR="00046DC1" w:rsidRDefault="00046DC1" w:rsidP="002210B4">
            <w:pPr>
              <w:spacing w:before="120" w:after="120"/>
              <w:jc w:val="center"/>
            </w:pPr>
          </w:p>
        </w:tc>
        <w:tc>
          <w:tcPr>
            <w:tcW w:w="3589" w:type="dxa"/>
            <w:vMerge/>
            <w:shd w:val="clear" w:color="auto" w:fill="auto"/>
          </w:tcPr>
          <w:p w14:paraId="36D5C76B" w14:textId="4743AD20" w:rsidR="00046DC1" w:rsidRDefault="00046DC1" w:rsidP="002210B4">
            <w:pPr>
              <w:spacing w:before="120" w:after="120"/>
              <w:jc w:val="center"/>
            </w:pPr>
          </w:p>
        </w:tc>
        <w:tc>
          <w:tcPr>
            <w:tcW w:w="3588" w:type="dxa"/>
            <w:vMerge/>
          </w:tcPr>
          <w:p w14:paraId="425013EF" w14:textId="111DC219" w:rsidR="00046DC1" w:rsidRDefault="00046DC1" w:rsidP="002210B4">
            <w:pPr>
              <w:spacing w:before="120" w:after="120"/>
              <w:jc w:val="center"/>
            </w:pPr>
          </w:p>
        </w:tc>
        <w:tc>
          <w:tcPr>
            <w:tcW w:w="3589" w:type="dxa"/>
            <w:vMerge/>
          </w:tcPr>
          <w:p w14:paraId="15199D48" w14:textId="6FE2A325" w:rsidR="00046DC1" w:rsidRDefault="00046DC1" w:rsidP="002210B4">
            <w:pPr>
              <w:spacing w:before="120" w:after="120"/>
              <w:jc w:val="center"/>
            </w:pPr>
          </w:p>
        </w:tc>
      </w:tr>
      <w:tr w:rsidR="00046DC1" w14:paraId="7A7A496E" w14:textId="77777777" w:rsidTr="00046DC1">
        <w:trPr>
          <w:trHeight w:val="611"/>
        </w:trPr>
        <w:tc>
          <w:tcPr>
            <w:tcW w:w="3588" w:type="dxa"/>
            <w:vMerge w:val="restart"/>
            <w:shd w:val="clear" w:color="auto" w:fill="auto"/>
          </w:tcPr>
          <w:p w14:paraId="296AF9A7" w14:textId="49D19900" w:rsidR="00046DC1" w:rsidRDefault="00000000" w:rsidP="002210B4">
            <w:pPr>
              <w:spacing w:before="120" w:after="120"/>
              <w:jc w:val="center"/>
            </w:pPr>
            <w:hyperlink r:id="rId20" w:history="1">
              <w:r w:rsidR="00046DC1" w:rsidRPr="00660961">
                <w:rPr>
                  <w:rStyle w:val="Hyperlink"/>
                </w:rPr>
                <w:t>How long now?</w:t>
              </w:r>
            </w:hyperlink>
          </w:p>
          <w:p w14:paraId="3FCC7359" w14:textId="39F9ED62" w:rsidR="00046DC1" w:rsidRDefault="00046DC1" w:rsidP="002210B4">
            <w:pPr>
              <w:spacing w:before="120" w:after="120"/>
              <w:jc w:val="center"/>
            </w:pPr>
            <w:r>
              <w:t>(Time – duration)</w:t>
            </w:r>
          </w:p>
        </w:tc>
        <w:tc>
          <w:tcPr>
            <w:tcW w:w="3589" w:type="dxa"/>
            <w:vMerge w:val="restart"/>
            <w:shd w:val="clear" w:color="auto" w:fill="auto"/>
          </w:tcPr>
          <w:p w14:paraId="0FF72DFE" w14:textId="119F394F" w:rsidR="00046DC1" w:rsidRDefault="00000000" w:rsidP="002210B4">
            <w:pPr>
              <w:spacing w:before="120" w:after="120"/>
              <w:jc w:val="center"/>
            </w:pPr>
            <w:hyperlink r:id="rId21" w:history="1">
              <w:r w:rsidR="00046DC1" w:rsidRPr="00BA5D52">
                <w:rPr>
                  <w:rStyle w:val="Hyperlink"/>
                </w:rPr>
                <w:t>Making patterns</w:t>
              </w:r>
            </w:hyperlink>
          </w:p>
          <w:p w14:paraId="217206AF" w14:textId="07C93A1F" w:rsidR="00046DC1" w:rsidRDefault="00046DC1" w:rsidP="002210B4">
            <w:pPr>
              <w:spacing w:before="120" w:after="120"/>
              <w:jc w:val="center"/>
            </w:pPr>
            <w:r>
              <w:t>(Translation/reflection/rotation)</w:t>
            </w:r>
          </w:p>
        </w:tc>
        <w:tc>
          <w:tcPr>
            <w:tcW w:w="3588" w:type="dxa"/>
            <w:vMerge w:val="restart"/>
          </w:tcPr>
          <w:p w14:paraId="20F6DF79" w14:textId="027CFBE9" w:rsidR="00046DC1" w:rsidRDefault="00000000" w:rsidP="002210B4">
            <w:pPr>
              <w:spacing w:before="120" w:after="120"/>
              <w:jc w:val="center"/>
            </w:pPr>
            <w:hyperlink r:id="rId22" w:history="1">
              <w:r w:rsidR="00046DC1" w:rsidRPr="004E74E0">
                <w:rPr>
                  <w:rStyle w:val="Hyperlink"/>
                </w:rPr>
                <w:t>Skip it to multiply it</w:t>
              </w:r>
            </w:hyperlink>
          </w:p>
          <w:p w14:paraId="2E7729E3" w14:textId="10D895B3" w:rsidR="00046DC1" w:rsidRDefault="00046DC1" w:rsidP="002210B4">
            <w:pPr>
              <w:spacing w:before="120" w:after="120"/>
              <w:jc w:val="center"/>
            </w:pPr>
            <w:r>
              <w:t>(Skip counting for multiplication)</w:t>
            </w:r>
          </w:p>
        </w:tc>
        <w:tc>
          <w:tcPr>
            <w:tcW w:w="3589" w:type="dxa"/>
            <w:vMerge w:val="restart"/>
          </w:tcPr>
          <w:p w14:paraId="42D1A269" w14:textId="51CEDDCE" w:rsidR="00046DC1" w:rsidRDefault="00000000" w:rsidP="00AA7A36">
            <w:pPr>
              <w:spacing w:before="120" w:after="120"/>
              <w:jc w:val="center"/>
            </w:pPr>
            <w:hyperlink r:id="rId23" w:history="1">
              <w:r w:rsidR="00046DC1" w:rsidRPr="00BA5D52">
                <w:rPr>
                  <w:rStyle w:val="Hyperlink"/>
                </w:rPr>
                <w:t>Taller, wider, longer</w:t>
              </w:r>
            </w:hyperlink>
          </w:p>
          <w:p w14:paraId="2C8EB9CA" w14:textId="4B5A184E" w:rsidR="00046DC1" w:rsidRDefault="00046DC1" w:rsidP="002210B4">
            <w:pPr>
              <w:spacing w:before="120" w:after="120"/>
              <w:jc w:val="center"/>
            </w:pPr>
            <w:r>
              <w:t>(Measurement – length)</w:t>
            </w:r>
          </w:p>
        </w:tc>
      </w:tr>
      <w:tr w:rsidR="00046DC1" w14:paraId="05662A50" w14:textId="77777777" w:rsidTr="00046DC1">
        <w:trPr>
          <w:trHeight w:val="630"/>
        </w:trPr>
        <w:tc>
          <w:tcPr>
            <w:tcW w:w="3588" w:type="dxa"/>
            <w:vMerge/>
            <w:shd w:val="clear" w:color="auto" w:fill="auto"/>
          </w:tcPr>
          <w:p w14:paraId="3BFA3286" w14:textId="77777777" w:rsidR="00046DC1" w:rsidRDefault="00046DC1" w:rsidP="002210B4">
            <w:pPr>
              <w:spacing w:before="120" w:after="120"/>
              <w:jc w:val="center"/>
            </w:pPr>
          </w:p>
        </w:tc>
        <w:tc>
          <w:tcPr>
            <w:tcW w:w="3589" w:type="dxa"/>
            <w:vMerge/>
            <w:shd w:val="clear" w:color="auto" w:fill="auto"/>
          </w:tcPr>
          <w:p w14:paraId="08710B43" w14:textId="77777777" w:rsidR="00046DC1" w:rsidRDefault="00046DC1" w:rsidP="002210B4">
            <w:pPr>
              <w:spacing w:before="120" w:after="120"/>
              <w:jc w:val="center"/>
            </w:pPr>
          </w:p>
        </w:tc>
        <w:tc>
          <w:tcPr>
            <w:tcW w:w="3588" w:type="dxa"/>
            <w:vMerge/>
          </w:tcPr>
          <w:p w14:paraId="73C9AEE0" w14:textId="63DD044D" w:rsidR="00046DC1" w:rsidRDefault="00046DC1" w:rsidP="002210B4">
            <w:pPr>
              <w:spacing w:before="120" w:after="120"/>
              <w:jc w:val="center"/>
            </w:pPr>
          </w:p>
        </w:tc>
        <w:tc>
          <w:tcPr>
            <w:tcW w:w="3589" w:type="dxa"/>
            <w:vMerge/>
          </w:tcPr>
          <w:p w14:paraId="1B46C7A8" w14:textId="08C2C2A3" w:rsidR="00046DC1" w:rsidRDefault="00046DC1" w:rsidP="002210B4">
            <w:pPr>
              <w:spacing w:before="120" w:after="120"/>
              <w:jc w:val="center"/>
            </w:pPr>
          </w:p>
        </w:tc>
      </w:tr>
      <w:tr w:rsidR="00046DC1" w14:paraId="3764FC79" w14:textId="77777777" w:rsidTr="00046DC1">
        <w:trPr>
          <w:trHeight w:val="611"/>
        </w:trPr>
        <w:tc>
          <w:tcPr>
            <w:tcW w:w="3588" w:type="dxa"/>
            <w:vMerge w:val="restart"/>
          </w:tcPr>
          <w:p w14:paraId="5A548C29" w14:textId="3E171383" w:rsidR="00046DC1" w:rsidRDefault="00000000" w:rsidP="002210B4">
            <w:pPr>
              <w:spacing w:before="120" w:after="120"/>
              <w:jc w:val="center"/>
            </w:pPr>
            <w:hyperlink r:id="rId24" w:history="1">
              <w:r w:rsidR="00046DC1" w:rsidRPr="00660961">
                <w:rPr>
                  <w:rStyle w:val="Hyperlink"/>
                </w:rPr>
                <w:t>Amazing mazes</w:t>
              </w:r>
            </w:hyperlink>
          </w:p>
          <w:p w14:paraId="1CC311B2" w14:textId="24DEFBB1" w:rsidR="00046DC1" w:rsidRDefault="00046DC1" w:rsidP="002210B4">
            <w:pPr>
              <w:spacing w:before="120" w:after="120"/>
              <w:jc w:val="center"/>
            </w:pPr>
            <w:r>
              <w:t>(Language of direction)</w:t>
            </w:r>
          </w:p>
        </w:tc>
        <w:tc>
          <w:tcPr>
            <w:tcW w:w="3589" w:type="dxa"/>
            <w:vMerge w:val="restart"/>
            <w:shd w:val="clear" w:color="auto" w:fill="auto"/>
          </w:tcPr>
          <w:p w14:paraId="5D3BACA4" w14:textId="77777777" w:rsidR="00046DC1" w:rsidRDefault="00000000" w:rsidP="00707B89">
            <w:pPr>
              <w:spacing w:before="120" w:after="120"/>
              <w:jc w:val="center"/>
            </w:pPr>
            <w:hyperlink r:id="rId25" w:history="1">
              <w:r w:rsidR="00046DC1" w:rsidRPr="00A03985">
                <w:rPr>
                  <w:rStyle w:val="Hyperlink"/>
                </w:rPr>
                <w:t>Matariki Level 1</w:t>
              </w:r>
            </w:hyperlink>
          </w:p>
          <w:p w14:paraId="028AA1E6" w14:textId="555B03B7" w:rsidR="00046DC1" w:rsidRPr="005B33B0" w:rsidRDefault="00046DC1" w:rsidP="00707B89">
            <w:pPr>
              <w:spacing w:before="120" w:after="120"/>
              <w:jc w:val="center"/>
            </w:pPr>
            <w:r>
              <w:t>(Thematic unit)</w:t>
            </w:r>
          </w:p>
        </w:tc>
        <w:tc>
          <w:tcPr>
            <w:tcW w:w="3588" w:type="dxa"/>
            <w:vMerge w:val="restart"/>
          </w:tcPr>
          <w:p w14:paraId="0F1EE3B9" w14:textId="71138A10" w:rsidR="00046DC1" w:rsidRDefault="00000000" w:rsidP="002210B4">
            <w:pPr>
              <w:spacing w:before="120" w:after="120"/>
              <w:jc w:val="center"/>
            </w:pPr>
            <w:hyperlink r:id="rId26" w:history="1">
              <w:r w:rsidR="00046DC1" w:rsidRPr="004E74E0">
                <w:rPr>
                  <w:rStyle w:val="Hyperlink"/>
                </w:rPr>
                <w:t>Snakes and scarves</w:t>
              </w:r>
            </w:hyperlink>
          </w:p>
          <w:p w14:paraId="1B71ABEE" w14:textId="4A2F043B" w:rsidR="00046DC1" w:rsidRDefault="00046DC1" w:rsidP="002210B4">
            <w:pPr>
              <w:spacing w:before="120" w:after="120"/>
              <w:jc w:val="center"/>
            </w:pPr>
            <w:r>
              <w:t>(Repeating patterns)</w:t>
            </w:r>
          </w:p>
        </w:tc>
        <w:tc>
          <w:tcPr>
            <w:tcW w:w="3589" w:type="dxa"/>
            <w:vMerge w:val="restart"/>
          </w:tcPr>
          <w:p w14:paraId="08081EF1" w14:textId="42B23C78" w:rsidR="00046DC1" w:rsidRDefault="00000000" w:rsidP="002210B4">
            <w:pPr>
              <w:spacing w:before="120" w:after="120"/>
              <w:jc w:val="center"/>
            </w:pPr>
            <w:hyperlink r:id="rId27" w:history="1">
              <w:r w:rsidR="00046DC1" w:rsidRPr="00BA5D52">
                <w:rPr>
                  <w:rStyle w:val="Hyperlink"/>
                </w:rPr>
                <w:t>Inequality symbols and relationships</w:t>
              </w:r>
            </w:hyperlink>
          </w:p>
          <w:p w14:paraId="72DD85DA" w14:textId="1826E69B" w:rsidR="00046DC1" w:rsidRDefault="00046DC1" w:rsidP="002210B4">
            <w:pPr>
              <w:spacing w:before="120" w:after="120"/>
              <w:jc w:val="center"/>
            </w:pPr>
            <w:r>
              <w:t>(Using and understanding =, &lt;, &gt;)</w:t>
            </w:r>
          </w:p>
        </w:tc>
      </w:tr>
      <w:tr w:rsidR="00046DC1" w14:paraId="05D54E5D" w14:textId="77777777" w:rsidTr="00046DC1">
        <w:trPr>
          <w:trHeight w:val="630"/>
        </w:trPr>
        <w:tc>
          <w:tcPr>
            <w:tcW w:w="3588" w:type="dxa"/>
            <w:vMerge/>
          </w:tcPr>
          <w:p w14:paraId="1ED670DA" w14:textId="77777777" w:rsidR="00046DC1" w:rsidRDefault="00046DC1" w:rsidP="002210B4">
            <w:pPr>
              <w:spacing w:before="120" w:after="120"/>
              <w:jc w:val="center"/>
            </w:pPr>
          </w:p>
        </w:tc>
        <w:tc>
          <w:tcPr>
            <w:tcW w:w="3589" w:type="dxa"/>
            <w:vMerge/>
            <w:shd w:val="clear" w:color="auto" w:fill="auto"/>
          </w:tcPr>
          <w:p w14:paraId="23B429CC" w14:textId="77777777" w:rsidR="00046DC1" w:rsidRDefault="00046DC1" w:rsidP="002210B4">
            <w:pPr>
              <w:spacing w:before="120" w:after="120"/>
              <w:jc w:val="center"/>
            </w:pPr>
          </w:p>
        </w:tc>
        <w:tc>
          <w:tcPr>
            <w:tcW w:w="3588" w:type="dxa"/>
            <w:vMerge/>
          </w:tcPr>
          <w:p w14:paraId="51B43F57" w14:textId="77777777" w:rsidR="00046DC1" w:rsidRDefault="00046DC1" w:rsidP="002210B4">
            <w:pPr>
              <w:spacing w:before="120" w:after="120"/>
              <w:jc w:val="center"/>
            </w:pPr>
          </w:p>
        </w:tc>
        <w:tc>
          <w:tcPr>
            <w:tcW w:w="3589" w:type="dxa"/>
            <w:vMerge/>
          </w:tcPr>
          <w:p w14:paraId="0AEECA58" w14:textId="77777777" w:rsidR="00046DC1" w:rsidRDefault="00046DC1" w:rsidP="002210B4">
            <w:pPr>
              <w:spacing w:before="120" w:after="120"/>
              <w:jc w:val="center"/>
            </w:pPr>
          </w:p>
        </w:tc>
      </w:tr>
    </w:tbl>
    <w:p w14:paraId="2F5441BF" w14:textId="03F25998" w:rsidR="00BD046C" w:rsidRDefault="00BD046C" w:rsidP="004E74E0">
      <w:pPr>
        <w:pStyle w:val="Heading2"/>
      </w:pPr>
    </w:p>
    <w:p w14:paraId="0363C92E" w14:textId="04BFA332" w:rsidR="00046DC1" w:rsidRPr="00046DC1" w:rsidRDefault="00046DC1" w:rsidP="00046DC1">
      <w:r>
        <w:t>This plan is a starting point for planning a mathematics and statistics teaching programme for a year. The resources listed cover about 50% of your teaching time. They provide broad coverage of the content of the strands of the NZC and the aspects of the LPF. Further resources need to be added to meet the specific learning needs of your class, to support your local curriculum and to provide sufficient teaching for a full year.</w:t>
      </w:r>
    </w:p>
    <w:sectPr w:rsidR="00046DC1" w:rsidRPr="00046DC1" w:rsidSect="004E74E0">
      <w:headerReference w:type="default" r:id="rId28"/>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5294" w14:textId="77777777" w:rsidR="000778B8" w:rsidRDefault="000778B8" w:rsidP="00046DC1">
      <w:pPr>
        <w:spacing w:after="0" w:line="240" w:lineRule="auto"/>
      </w:pPr>
      <w:r>
        <w:separator/>
      </w:r>
    </w:p>
  </w:endnote>
  <w:endnote w:type="continuationSeparator" w:id="0">
    <w:p w14:paraId="053FD6C9" w14:textId="77777777" w:rsidR="000778B8" w:rsidRDefault="000778B8" w:rsidP="0004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B66E" w14:textId="4476973F" w:rsidR="00046DC1" w:rsidRDefault="00046DC1">
    <w:pPr>
      <w:pStyle w:val="Footer"/>
    </w:pPr>
    <w:r>
      <w:rPr>
        <w:color w:val="A6A6A6" w:themeColor="background1" w:themeShade="A6"/>
      </w:rPr>
      <w:t xml:space="preserve">Available from </w:t>
    </w:r>
    <w:hyperlink r:id="rId1" w:history="1">
      <w:r>
        <w:rPr>
          <w:rStyle w:val="Hyperlink"/>
          <w:color w:val="A6A6A6" w:themeColor="background1" w:themeShade="A6"/>
        </w:rPr>
        <w:t>https://nzmaths.co.nz/long-term-plans</w:t>
      </w:r>
    </w:hyperlink>
    <w:r>
      <w:rPr>
        <w:color w:val="A6A6A6" w:themeColor="background1" w:themeShade="A6"/>
      </w:rPr>
      <w:t>. All linked resources on nzmaths.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4D29" w14:textId="77777777" w:rsidR="000778B8" w:rsidRDefault="000778B8" w:rsidP="00046DC1">
      <w:pPr>
        <w:spacing w:after="0" w:line="240" w:lineRule="auto"/>
      </w:pPr>
      <w:r>
        <w:separator/>
      </w:r>
    </w:p>
  </w:footnote>
  <w:footnote w:type="continuationSeparator" w:id="0">
    <w:p w14:paraId="1AEA6D85" w14:textId="77777777" w:rsidR="000778B8" w:rsidRDefault="000778B8" w:rsidP="0004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25CF" w14:textId="422517FD" w:rsidR="00046DC1" w:rsidRDefault="00046DC1" w:rsidP="00046DC1">
    <w:pPr>
      <w:pStyle w:val="Header"/>
      <w:jc w:val="right"/>
    </w:pPr>
    <w:r>
      <w:rPr>
        <w:noProof/>
      </w:rPr>
      <w:drawing>
        <wp:anchor distT="0" distB="0" distL="114300" distR="114300" simplePos="0" relativeHeight="251658240" behindDoc="0" locked="0" layoutInCell="1" allowOverlap="1" wp14:anchorId="24162CD6" wp14:editId="156F20A4">
          <wp:simplePos x="0" y="0"/>
          <wp:positionH relativeFrom="column">
            <wp:posOffset>7600950</wp:posOffset>
          </wp:positionH>
          <wp:positionV relativeFrom="paragraph">
            <wp:posOffset>-1905</wp:posOffset>
          </wp:positionV>
          <wp:extent cx="2175510" cy="52197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F30"/>
    <w:multiLevelType w:val="hybridMultilevel"/>
    <w:tmpl w:val="F244E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F5197"/>
    <w:multiLevelType w:val="multilevel"/>
    <w:tmpl w:val="A856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C65AB"/>
    <w:multiLevelType w:val="multilevel"/>
    <w:tmpl w:val="3B1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F4A2A"/>
    <w:multiLevelType w:val="multilevel"/>
    <w:tmpl w:val="02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C101B"/>
    <w:multiLevelType w:val="multilevel"/>
    <w:tmpl w:val="32C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E48E2"/>
    <w:multiLevelType w:val="hybridMultilevel"/>
    <w:tmpl w:val="A2AACD66"/>
    <w:lvl w:ilvl="0" w:tplc="14090001">
      <w:start w:val="1"/>
      <w:numFmt w:val="bullet"/>
      <w:lvlText w:val=""/>
      <w:lvlJc w:val="left"/>
      <w:pPr>
        <w:ind w:left="375" w:hanging="360"/>
      </w:pPr>
      <w:rPr>
        <w:rFonts w:ascii="Symbol" w:hAnsi="Symbol" w:hint="default"/>
      </w:rPr>
    </w:lvl>
    <w:lvl w:ilvl="1" w:tplc="14090003" w:tentative="1">
      <w:start w:val="1"/>
      <w:numFmt w:val="bullet"/>
      <w:lvlText w:val="o"/>
      <w:lvlJc w:val="left"/>
      <w:pPr>
        <w:ind w:left="1095" w:hanging="360"/>
      </w:pPr>
      <w:rPr>
        <w:rFonts w:ascii="Courier New" w:hAnsi="Courier New" w:cs="Courier New" w:hint="default"/>
      </w:rPr>
    </w:lvl>
    <w:lvl w:ilvl="2" w:tplc="14090005" w:tentative="1">
      <w:start w:val="1"/>
      <w:numFmt w:val="bullet"/>
      <w:lvlText w:val=""/>
      <w:lvlJc w:val="left"/>
      <w:pPr>
        <w:ind w:left="1815" w:hanging="360"/>
      </w:pPr>
      <w:rPr>
        <w:rFonts w:ascii="Wingdings" w:hAnsi="Wingdings" w:hint="default"/>
      </w:rPr>
    </w:lvl>
    <w:lvl w:ilvl="3" w:tplc="14090001" w:tentative="1">
      <w:start w:val="1"/>
      <w:numFmt w:val="bullet"/>
      <w:lvlText w:val=""/>
      <w:lvlJc w:val="left"/>
      <w:pPr>
        <w:ind w:left="2535" w:hanging="360"/>
      </w:pPr>
      <w:rPr>
        <w:rFonts w:ascii="Symbol" w:hAnsi="Symbol" w:hint="default"/>
      </w:rPr>
    </w:lvl>
    <w:lvl w:ilvl="4" w:tplc="14090003" w:tentative="1">
      <w:start w:val="1"/>
      <w:numFmt w:val="bullet"/>
      <w:lvlText w:val="o"/>
      <w:lvlJc w:val="left"/>
      <w:pPr>
        <w:ind w:left="3255" w:hanging="360"/>
      </w:pPr>
      <w:rPr>
        <w:rFonts w:ascii="Courier New" w:hAnsi="Courier New" w:cs="Courier New" w:hint="default"/>
      </w:rPr>
    </w:lvl>
    <w:lvl w:ilvl="5" w:tplc="14090005" w:tentative="1">
      <w:start w:val="1"/>
      <w:numFmt w:val="bullet"/>
      <w:lvlText w:val=""/>
      <w:lvlJc w:val="left"/>
      <w:pPr>
        <w:ind w:left="3975" w:hanging="360"/>
      </w:pPr>
      <w:rPr>
        <w:rFonts w:ascii="Wingdings" w:hAnsi="Wingdings" w:hint="default"/>
      </w:rPr>
    </w:lvl>
    <w:lvl w:ilvl="6" w:tplc="14090001" w:tentative="1">
      <w:start w:val="1"/>
      <w:numFmt w:val="bullet"/>
      <w:lvlText w:val=""/>
      <w:lvlJc w:val="left"/>
      <w:pPr>
        <w:ind w:left="4695" w:hanging="360"/>
      </w:pPr>
      <w:rPr>
        <w:rFonts w:ascii="Symbol" w:hAnsi="Symbol" w:hint="default"/>
      </w:rPr>
    </w:lvl>
    <w:lvl w:ilvl="7" w:tplc="14090003" w:tentative="1">
      <w:start w:val="1"/>
      <w:numFmt w:val="bullet"/>
      <w:lvlText w:val="o"/>
      <w:lvlJc w:val="left"/>
      <w:pPr>
        <w:ind w:left="5415" w:hanging="360"/>
      </w:pPr>
      <w:rPr>
        <w:rFonts w:ascii="Courier New" w:hAnsi="Courier New" w:cs="Courier New" w:hint="default"/>
      </w:rPr>
    </w:lvl>
    <w:lvl w:ilvl="8" w:tplc="14090005" w:tentative="1">
      <w:start w:val="1"/>
      <w:numFmt w:val="bullet"/>
      <w:lvlText w:val=""/>
      <w:lvlJc w:val="left"/>
      <w:pPr>
        <w:ind w:left="6135" w:hanging="360"/>
      </w:pPr>
      <w:rPr>
        <w:rFonts w:ascii="Wingdings" w:hAnsi="Wingdings" w:hint="default"/>
      </w:rPr>
    </w:lvl>
  </w:abstractNum>
  <w:abstractNum w:abstractNumId="6" w15:restartNumberingAfterBreak="0">
    <w:nsid w:val="3711575D"/>
    <w:multiLevelType w:val="multilevel"/>
    <w:tmpl w:val="AA1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480C0B"/>
    <w:multiLevelType w:val="multilevel"/>
    <w:tmpl w:val="7F3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F75DA"/>
    <w:multiLevelType w:val="multilevel"/>
    <w:tmpl w:val="0C8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6470F"/>
    <w:multiLevelType w:val="multilevel"/>
    <w:tmpl w:val="9D3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A11C09"/>
    <w:multiLevelType w:val="hybridMultilevel"/>
    <w:tmpl w:val="896C5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CB434F"/>
    <w:multiLevelType w:val="hybridMultilevel"/>
    <w:tmpl w:val="0D527F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AF82E81"/>
    <w:multiLevelType w:val="multilevel"/>
    <w:tmpl w:val="8FD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174376"/>
    <w:multiLevelType w:val="multilevel"/>
    <w:tmpl w:val="703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E33B4D"/>
    <w:multiLevelType w:val="multilevel"/>
    <w:tmpl w:val="62F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96E1A"/>
    <w:multiLevelType w:val="multilevel"/>
    <w:tmpl w:val="764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43575"/>
    <w:multiLevelType w:val="hybridMultilevel"/>
    <w:tmpl w:val="D168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E32384D"/>
    <w:multiLevelType w:val="multilevel"/>
    <w:tmpl w:val="661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1653F"/>
    <w:multiLevelType w:val="multilevel"/>
    <w:tmpl w:val="FF5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434ECA"/>
    <w:multiLevelType w:val="hybridMultilevel"/>
    <w:tmpl w:val="C0D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710EC8"/>
    <w:multiLevelType w:val="multilevel"/>
    <w:tmpl w:val="8BA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8C49BC"/>
    <w:multiLevelType w:val="multilevel"/>
    <w:tmpl w:val="03FA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3875916">
    <w:abstractNumId w:val="19"/>
  </w:num>
  <w:num w:numId="2" w16cid:durableId="1078790597">
    <w:abstractNumId w:val="11"/>
  </w:num>
  <w:num w:numId="3" w16cid:durableId="295336826">
    <w:abstractNumId w:val="0"/>
  </w:num>
  <w:num w:numId="4" w16cid:durableId="2044593395">
    <w:abstractNumId w:val="10"/>
  </w:num>
  <w:num w:numId="5" w16cid:durableId="1123425121">
    <w:abstractNumId w:val="16"/>
  </w:num>
  <w:num w:numId="6" w16cid:durableId="843669775">
    <w:abstractNumId w:val="21"/>
  </w:num>
  <w:num w:numId="7" w16cid:durableId="1855880">
    <w:abstractNumId w:val="14"/>
  </w:num>
  <w:num w:numId="8" w16cid:durableId="898322533">
    <w:abstractNumId w:val="1"/>
  </w:num>
  <w:num w:numId="9" w16cid:durableId="1237472798">
    <w:abstractNumId w:val="2"/>
  </w:num>
  <w:num w:numId="10" w16cid:durableId="201093433">
    <w:abstractNumId w:val="12"/>
  </w:num>
  <w:num w:numId="11" w16cid:durableId="518661840">
    <w:abstractNumId w:val="18"/>
  </w:num>
  <w:num w:numId="12" w16cid:durableId="299455901">
    <w:abstractNumId w:val="20"/>
  </w:num>
  <w:num w:numId="13" w16cid:durableId="1301612363">
    <w:abstractNumId w:val="7"/>
  </w:num>
  <w:num w:numId="14" w16cid:durableId="570770871">
    <w:abstractNumId w:val="15"/>
  </w:num>
  <w:num w:numId="15" w16cid:durableId="1408067607">
    <w:abstractNumId w:val="13"/>
  </w:num>
  <w:num w:numId="16" w16cid:durableId="1080905181">
    <w:abstractNumId w:val="4"/>
  </w:num>
  <w:num w:numId="17" w16cid:durableId="546718804">
    <w:abstractNumId w:val="6"/>
  </w:num>
  <w:num w:numId="18" w16cid:durableId="652954280">
    <w:abstractNumId w:val="9"/>
  </w:num>
  <w:num w:numId="19" w16cid:durableId="982931900">
    <w:abstractNumId w:val="17"/>
  </w:num>
  <w:num w:numId="20" w16cid:durableId="1415201991">
    <w:abstractNumId w:val="3"/>
  </w:num>
  <w:num w:numId="21" w16cid:durableId="423847380">
    <w:abstractNumId w:val="8"/>
  </w:num>
  <w:num w:numId="22" w16cid:durableId="1696417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44"/>
    <w:rsid w:val="00014E1A"/>
    <w:rsid w:val="0003177C"/>
    <w:rsid w:val="00046DC1"/>
    <w:rsid w:val="000778B8"/>
    <w:rsid w:val="00093FA9"/>
    <w:rsid w:val="00096AB7"/>
    <w:rsid w:val="000A6A28"/>
    <w:rsid w:val="001B0A5D"/>
    <w:rsid w:val="001C503B"/>
    <w:rsid w:val="001D77D7"/>
    <w:rsid w:val="002210B4"/>
    <w:rsid w:val="002870C8"/>
    <w:rsid w:val="00292319"/>
    <w:rsid w:val="0035227E"/>
    <w:rsid w:val="003E2AF4"/>
    <w:rsid w:val="004114F3"/>
    <w:rsid w:val="00487FCF"/>
    <w:rsid w:val="00497EED"/>
    <w:rsid w:val="004B4544"/>
    <w:rsid w:val="004E74E0"/>
    <w:rsid w:val="005B33B0"/>
    <w:rsid w:val="005B538B"/>
    <w:rsid w:val="0060455F"/>
    <w:rsid w:val="0062232A"/>
    <w:rsid w:val="00660961"/>
    <w:rsid w:val="0068026C"/>
    <w:rsid w:val="006B1D11"/>
    <w:rsid w:val="006C3124"/>
    <w:rsid w:val="006C563F"/>
    <w:rsid w:val="006E14A6"/>
    <w:rsid w:val="006E398E"/>
    <w:rsid w:val="00707B89"/>
    <w:rsid w:val="00722F53"/>
    <w:rsid w:val="00752C52"/>
    <w:rsid w:val="00757FF0"/>
    <w:rsid w:val="0077202E"/>
    <w:rsid w:val="008304C1"/>
    <w:rsid w:val="00845A02"/>
    <w:rsid w:val="008B5DBB"/>
    <w:rsid w:val="008C519F"/>
    <w:rsid w:val="008E0F23"/>
    <w:rsid w:val="009345BC"/>
    <w:rsid w:val="009554C4"/>
    <w:rsid w:val="00A356C0"/>
    <w:rsid w:val="00AA7A36"/>
    <w:rsid w:val="00AF79E2"/>
    <w:rsid w:val="00B325C4"/>
    <w:rsid w:val="00B815B5"/>
    <w:rsid w:val="00B91F4B"/>
    <w:rsid w:val="00BA5D52"/>
    <w:rsid w:val="00BD046C"/>
    <w:rsid w:val="00C2559E"/>
    <w:rsid w:val="00C45D3B"/>
    <w:rsid w:val="00C8712A"/>
    <w:rsid w:val="00CD210E"/>
    <w:rsid w:val="00D30517"/>
    <w:rsid w:val="00D9217E"/>
    <w:rsid w:val="00DA0368"/>
    <w:rsid w:val="00DB2B3E"/>
    <w:rsid w:val="00E276A4"/>
    <w:rsid w:val="00E477B1"/>
    <w:rsid w:val="00E514A5"/>
    <w:rsid w:val="00E5497B"/>
    <w:rsid w:val="00E94910"/>
    <w:rsid w:val="00EB05CE"/>
    <w:rsid w:val="00EB3F5C"/>
    <w:rsid w:val="00EF5E54"/>
    <w:rsid w:val="00FB51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919C2"/>
  <w15:chartTrackingRefBased/>
  <w15:docId w15:val="{BE36C183-28BB-4A0B-A5DD-4B9D645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5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2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5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5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B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F2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8E0F2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1F4B"/>
    <w:pPr>
      <w:ind w:left="720"/>
      <w:contextualSpacing/>
    </w:pPr>
  </w:style>
  <w:style w:type="character" w:styleId="Hyperlink">
    <w:name w:val="Hyperlink"/>
    <w:basedOn w:val="DefaultParagraphFont"/>
    <w:uiPriority w:val="99"/>
    <w:unhideWhenUsed/>
    <w:rsid w:val="00497EED"/>
    <w:rPr>
      <w:color w:val="0563C1" w:themeColor="hyperlink"/>
      <w:u w:val="single"/>
    </w:rPr>
  </w:style>
  <w:style w:type="character" w:styleId="UnresolvedMention">
    <w:name w:val="Unresolved Mention"/>
    <w:basedOn w:val="DefaultParagraphFont"/>
    <w:uiPriority w:val="99"/>
    <w:semiHidden/>
    <w:unhideWhenUsed/>
    <w:rsid w:val="00497EED"/>
    <w:rPr>
      <w:color w:val="605E5C"/>
      <w:shd w:val="clear" w:color="auto" w:fill="E1DFDD"/>
    </w:rPr>
  </w:style>
  <w:style w:type="paragraph" w:styleId="BalloonText">
    <w:name w:val="Balloon Text"/>
    <w:basedOn w:val="Normal"/>
    <w:link w:val="BalloonTextChar"/>
    <w:uiPriority w:val="99"/>
    <w:semiHidden/>
    <w:unhideWhenUsed/>
    <w:rsid w:val="008C5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9F"/>
    <w:rPr>
      <w:rFonts w:ascii="Segoe UI" w:hAnsi="Segoe UI" w:cs="Segoe UI"/>
      <w:sz w:val="18"/>
      <w:szCs w:val="18"/>
    </w:rPr>
  </w:style>
  <w:style w:type="character" w:customStyle="1" w:styleId="Heading4Char">
    <w:name w:val="Heading 4 Char"/>
    <w:basedOn w:val="DefaultParagraphFont"/>
    <w:link w:val="Heading4"/>
    <w:uiPriority w:val="9"/>
    <w:semiHidden/>
    <w:rsid w:val="00CD210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CD210E"/>
    <w:rPr>
      <w:b/>
      <w:bCs/>
    </w:rPr>
  </w:style>
  <w:style w:type="paragraph" w:styleId="Header">
    <w:name w:val="header"/>
    <w:basedOn w:val="Normal"/>
    <w:link w:val="HeaderChar"/>
    <w:uiPriority w:val="99"/>
    <w:unhideWhenUsed/>
    <w:rsid w:val="0004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C1"/>
  </w:style>
  <w:style w:type="paragraph" w:styleId="Footer">
    <w:name w:val="footer"/>
    <w:basedOn w:val="Normal"/>
    <w:link w:val="FooterChar"/>
    <w:uiPriority w:val="99"/>
    <w:unhideWhenUsed/>
    <w:rsid w:val="00046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029">
      <w:bodyDiv w:val="1"/>
      <w:marLeft w:val="0"/>
      <w:marRight w:val="0"/>
      <w:marTop w:val="0"/>
      <w:marBottom w:val="0"/>
      <w:divBdr>
        <w:top w:val="none" w:sz="0" w:space="0" w:color="auto"/>
        <w:left w:val="none" w:sz="0" w:space="0" w:color="auto"/>
        <w:bottom w:val="none" w:sz="0" w:space="0" w:color="auto"/>
        <w:right w:val="none" w:sz="0" w:space="0" w:color="auto"/>
      </w:divBdr>
    </w:div>
    <w:div w:id="500776308">
      <w:bodyDiv w:val="1"/>
      <w:marLeft w:val="0"/>
      <w:marRight w:val="0"/>
      <w:marTop w:val="0"/>
      <w:marBottom w:val="0"/>
      <w:divBdr>
        <w:top w:val="none" w:sz="0" w:space="0" w:color="auto"/>
        <w:left w:val="none" w:sz="0" w:space="0" w:color="auto"/>
        <w:bottom w:val="none" w:sz="0" w:space="0" w:color="auto"/>
        <w:right w:val="none" w:sz="0" w:space="0" w:color="auto"/>
      </w:divBdr>
    </w:div>
    <w:div w:id="570891443">
      <w:bodyDiv w:val="1"/>
      <w:marLeft w:val="0"/>
      <w:marRight w:val="0"/>
      <w:marTop w:val="0"/>
      <w:marBottom w:val="0"/>
      <w:divBdr>
        <w:top w:val="none" w:sz="0" w:space="0" w:color="auto"/>
        <w:left w:val="none" w:sz="0" w:space="0" w:color="auto"/>
        <w:bottom w:val="none" w:sz="0" w:space="0" w:color="auto"/>
        <w:right w:val="none" w:sz="0" w:space="0" w:color="auto"/>
      </w:divBdr>
    </w:div>
    <w:div w:id="654457691">
      <w:bodyDiv w:val="1"/>
      <w:marLeft w:val="0"/>
      <w:marRight w:val="0"/>
      <w:marTop w:val="0"/>
      <w:marBottom w:val="0"/>
      <w:divBdr>
        <w:top w:val="none" w:sz="0" w:space="0" w:color="auto"/>
        <w:left w:val="none" w:sz="0" w:space="0" w:color="auto"/>
        <w:bottom w:val="none" w:sz="0" w:space="0" w:color="auto"/>
        <w:right w:val="none" w:sz="0" w:space="0" w:color="auto"/>
      </w:divBdr>
    </w:div>
    <w:div w:id="1072772237">
      <w:bodyDiv w:val="1"/>
      <w:marLeft w:val="0"/>
      <w:marRight w:val="0"/>
      <w:marTop w:val="0"/>
      <w:marBottom w:val="0"/>
      <w:divBdr>
        <w:top w:val="none" w:sz="0" w:space="0" w:color="auto"/>
        <w:left w:val="none" w:sz="0" w:space="0" w:color="auto"/>
        <w:bottom w:val="none" w:sz="0" w:space="0" w:color="auto"/>
        <w:right w:val="none" w:sz="0" w:space="0" w:color="auto"/>
      </w:divBdr>
    </w:div>
    <w:div w:id="1203127169">
      <w:bodyDiv w:val="1"/>
      <w:marLeft w:val="0"/>
      <w:marRight w:val="0"/>
      <w:marTop w:val="0"/>
      <w:marBottom w:val="0"/>
      <w:divBdr>
        <w:top w:val="none" w:sz="0" w:space="0" w:color="auto"/>
        <w:left w:val="none" w:sz="0" w:space="0" w:color="auto"/>
        <w:bottom w:val="none" w:sz="0" w:space="0" w:color="auto"/>
        <w:right w:val="none" w:sz="0" w:space="0" w:color="auto"/>
      </w:divBdr>
    </w:div>
    <w:div w:id="1270116284">
      <w:bodyDiv w:val="1"/>
      <w:marLeft w:val="0"/>
      <w:marRight w:val="0"/>
      <w:marTop w:val="0"/>
      <w:marBottom w:val="0"/>
      <w:divBdr>
        <w:top w:val="none" w:sz="0" w:space="0" w:color="auto"/>
        <w:left w:val="none" w:sz="0" w:space="0" w:color="auto"/>
        <w:bottom w:val="none" w:sz="0" w:space="0" w:color="auto"/>
        <w:right w:val="none" w:sz="0" w:space="0" w:color="auto"/>
      </w:divBdr>
    </w:div>
    <w:div w:id="1281836792">
      <w:bodyDiv w:val="1"/>
      <w:marLeft w:val="0"/>
      <w:marRight w:val="0"/>
      <w:marTop w:val="0"/>
      <w:marBottom w:val="0"/>
      <w:divBdr>
        <w:top w:val="none" w:sz="0" w:space="0" w:color="auto"/>
        <w:left w:val="none" w:sz="0" w:space="0" w:color="auto"/>
        <w:bottom w:val="none" w:sz="0" w:space="0" w:color="auto"/>
        <w:right w:val="none" w:sz="0" w:space="0" w:color="auto"/>
      </w:divBdr>
    </w:div>
    <w:div w:id="1472285350">
      <w:bodyDiv w:val="1"/>
      <w:marLeft w:val="0"/>
      <w:marRight w:val="0"/>
      <w:marTop w:val="0"/>
      <w:marBottom w:val="0"/>
      <w:divBdr>
        <w:top w:val="none" w:sz="0" w:space="0" w:color="auto"/>
        <w:left w:val="none" w:sz="0" w:space="0" w:color="auto"/>
        <w:bottom w:val="none" w:sz="0" w:space="0" w:color="auto"/>
        <w:right w:val="none" w:sz="0" w:space="0" w:color="auto"/>
      </w:divBdr>
    </w:div>
    <w:div w:id="1474517753">
      <w:bodyDiv w:val="1"/>
      <w:marLeft w:val="0"/>
      <w:marRight w:val="0"/>
      <w:marTop w:val="0"/>
      <w:marBottom w:val="0"/>
      <w:divBdr>
        <w:top w:val="none" w:sz="0" w:space="0" w:color="auto"/>
        <w:left w:val="none" w:sz="0" w:space="0" w:color="auto"/>
        <w:bottom w:val="none" w:sz="0" w:space="0" w:color="auto"/>
        <w:right w:val="none" w:sz="0" w:space="0" w:color="auto"/>
      </w:divBdr>
    </w:div>
    <w:div w:id="1556811963">
      <w:bodyDiv w:val="1"/>
      <w:marLeft w:val="0"/>
      <w:marRight w:val="0"/>
      <w:marTop w:val="0"/>
      <w:marBottom w:val="0"/>
      <w:divBdr>
        <w:top w:val="none" w:sz="0" w:space="0" w:color="auto"/>
        <w:left w:val="none" w:sz="0" w:space="0" w:color="auto"/>
        <w:bottom w:val="none" w:sz="0" w:space="0" w:color="auto"/>
        <w:right w:val="none" w:sz="0" w:space="0" w:color="auto"/>
      </w:divBdr>
    </w:div>
    <w:div w:id="1666014868">
      <w:bodyDiv w:val="1"/>
      <w:marLeft w:val="0"/>
      <w:marRight w:val="0"/>
      <w:marTop w:val="0"/>
      <w:marBottom w:val="0"/>
      <w:divBdr>
        <w:top w:val="none" w:sz="0" w:space="0" w:color="auto"/>
        <w:left w:val="none" w:sz="0" w:space="0" w:color="auto"/>
        <w:bottom w:val="none" w:sz="0" w:space="0" w:color="auto"/>
        <w:right w:val="none" w:sz="0" w:space="0" w:color="auto"/>
      </w:divBdr>
    </w:div>
    <w:div w:id="1817719049">
      <w:bodyDiv w:val="1"/>
      <w:marLeft w:val="0"/>
      <w:marRight w:val="0"/>
      <w:marTop w:val="0"/>
      <w:marBottom w:val="0"/>
      <w:divBdr>
        <w:top w:val="none" w:sz="0" w:space="0" w:color="auto"/>
        <w:left w:val="none" w:sz="0" w:space="0" w:color="auto"/>
        <w:bottom w:val="none" w:sz="0" w:space="0" w:color="auto"/>
        <w:right w:val="none" w:sz="0" w:space="0" w:color="auto"/>
      </w:divBdr>
    </w:div>
    <w:div w:id="1838303804">
      <w:bodyDiv w:val="1"/>
      <w:marLeft w:val="0"/>
      <w:marRight w:val="0"/>
      <w:marTop w:val="0"/>
      <w:marBottom w:val="0"/>
      <w:divBdr>
        <w:top w:val="none" w:sz="0" w:space="0" w:color="auto"/>
        <w:left w:val="none" w:sz="0" w:space="0" w:color="auto"/>
        <w:bottom w:val="none" w:sz="0" w:space="0" w:color="auto"/>
        <w:right w:val="none" w:sz="0" w:space="0" w:color="auto"/>
      </w:divBdr>
    </w:div>
    <w:div w:id="1895118865">
      <w:bodyDiv w:val="1"/>
      <w:marLeft w:val="0"/>
      <w:marRight w:val="0"/>
      <w:marTop w:val="0"/>
      <w:marBottom w:val="0"/>
      <w:divBdr>
        <w:top w:val="none" w:sz="0" w:space="0" w:color="auto"/>
        <w:left w:val="none" w:sz="0" w:space="0" w:color="auto"/>
        <w:bottom w:val="none" w:sz="0" w:space="0" w:color="auto"/>
        <w:right w:val="none" w:sz="0" w:space="0" w:color="auto"/>
      </w:divBdr>
    </w:div>
    <w:div w:id="1912345440">
      <w:bodyDiv w:val="1"/>
      <w:marLeft w:val="0"/>
      <w:marRight w:val="0"/>
      <w:marTop w:val="0"/>
      <w:marBottom w:val="0"/>
      <w:divBdr>
        <w:top w:val="none" w:sz="0" w:space="0" w:color="auto"/>
        <w:left w:val="none" w:sz="0" w:space="0" w:color="auto"/>
        <w:bottom w:val="none" w:sz="0" w:space="0" w:color="auto"/>
        <w:right w:val="none" w:sz="0" w:space="0" w:color="auto"/>
      </w:divBdr>
    </w:div>
    <w:div w:id="2071998347">
      <w:bodyDiv w:val="1"/>
      <w:marLeft w:val="0"/>
      <w:marRight w:val="0"/>
      <w:marTop w:val="0"/>
      <w:marBottom w:val="0"/>
      <w:divBdr>
        <w:top w:val="none" w:sz="0" w:space="0" w:color="auto"/>
        <w:left w:val="none" w:sz="0" w:space="0" w:color="auto"/>
        <w:bottom w:val="none" w:sz="0" w:space="0" w:color="auto"/>
        <w:right w:val="none" w:sz="0" w:space="0" w:color="auto"/>
      </w:divBdr>
    </w:div>
    <w:div w:id="21451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maths.co.nz/node/35789" TargetMode="External"/><Relationship Id="rId13" Type="http://schemas.openxmlformats.org/officeDocument/2006/relationships/hyperlink" Target="https://nzmaths.co.nz/node/360" TargetMode="External"/><Relationship Id="rId18" Type="http://schemas.openxmlformats.org/officeDocument/2006/relationships/hyperlink" Target="https://nzmaths.co.nz/node/796" TargetMode="External"/><Relationship Id="rId26" Type="http://schemas.openxmlformats.org/officeDocument/2006/relationships/hyperlink" Target="https://nzmaths.co.nz/node/204" TargetMode="External"/><Relationship Id="rId3" Type="http://schemas.openxmlformats.org/officeDocument/2006/relationships/styles" Target="styles.xml"/><Relationship Id="rId21" Type="http://schemas.openxmlformats.org/officeDocument/2006/relationships/hyperlink" Target="https://nzmaths.co.nz/node/822" TargetMode="External"/><Relationship Id="rId7" Type="http://schemas.openxmlformats.org/officeDocument/2006/relationships/endnotes" Target="endnotes.xml"/><Relationship Id="rId12" Type="http://schemas.openxmlformats.org/officeDocument/2006/relationships/hyperlink" Target="https://nzmaths.co.nz/node/16230" TargetMode="External"/><Relationship Id="rId17" Type="http://schemas.openxmlformats.org/officeDocument/2006/relationships/hyperlink" Target="https://nzmaths.co.nz/node/17616" TargetMode="External"/><Relationship Id="rId25" Type="http://schemas.openxmlformats.org/officeDocument/2006/relationships/hyperlink" Target="https://nzmaths.co.nz/node/36998" TargetMode="External"/><Relationship Id="rId2" Type="http://schemas.openxmlformats.org/officeDocument/2006/relationships/numbering" Target="numbering.xml"/><Relationship Id="rId16" Type="http://schemas.openxmlformats.org/officeDocument/2006/relationships/hyperlink" Target="https://nzmaths.co.nz/node/372" TargetMode="External"/><Relationship Id="rId20" Type="http://schemas.openxmlformats.org/officeDocument/2006/relationships/hyperlink" Target="https://nzmaths.co.nz/node/80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zmaths.co.nz/node/128" TargetMode="External"/><Relationship Id="rId24" Type="http://schemas.openxmlformats.org/officeDocument/2006/relationships/hyperlink" Target="https://nzmaths.co.nz/node/186" TargetMode="External"/><Relationship Id="rId5" Type="http://schemas.openxmlformats.org/officeDocument/2006/relationships/webSettings" Target="webSettings.xml"/><Relationship Id="rId15" Type="http://schemas.openxmlformats.org/officeDocument/2006/relationships/hyperlink" Target="https://nzmaths.co.nz/node/36897" TargetMode="External"/><Relationship Id="rId23" Type="http://schemas.openxmlformats.org/officeDocument/2006/relationships/hyperlink" Target="https://nzmaths.co.nz/node/374" TargetMode="External"/><Relationship Id="rId28" Type="http://schemas.openxmlformats.org/officeDocument/2006/relationships/header" Target="header1.xml"/><Relationship Id="rId10" Type="http://schemas.openxmlformats.org/officeDocument/2006/relationships/hyperlink" Target="https://nzmaths.co.nz/node/192" TargetMode="External"/><Relationship Id="rId19" Type="http://schemas.openxmlformats.org/officeDocument/2006/relationships/hyperlink" Target="https://nzmaths.co.nz/node/8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zmaths.co.nz/node/149" TargetMode="External"/><Relationship Id="rId14" Type="http://schemas.openxmlformats.org/officeDocument/2006/relationships/hyperlink" Target="https://nzmaths.co.nz/node/16236" TargetMode="External"/><Relationship Id="rId22" Type="http://schemas.openxmlformats.org/officeDocument/2006/relationships/hyperlink" Target="https://nzmaths.co.nz/node/561" TargetMode="External"/><Relationship Id="rId27" Type="http://schemas.openxmlformats.org/officeDocument/2006/relationships/hyperlink" Target="https://nzmaths.co.nz/node/17617"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zmaths.co.nz/long-term-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CB93-ABE8-442E-A05B-8FA1D39E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Wright</dc:creator>
  <cp:keywords/>
  <dc:description/>
  <cp:lastModifiedBy>Andrew  Tagg</cp:lastModifiedBy>
  <cp:revision>10</cp:revision>
  <cp:lastPrinted>2020-08-24T02:10:00Z</cp:lastPrinted>
  <dcterms:created xsi:type="dcterms:W3CDTF">2020-09-08T02:22:00Z</dcterms:created>
  <dcterms:modified xsi:type="dcterms:W3CDTF">2022-10-31T22:02:00Z</dcterms:modified>
</cp:coreProperties>
</file>