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8A4B" w14:textId="2A76B8BD" w:rsidR="00E276A4" w:rsidRPr="00D82769" w:rsidRDefault="00D82769" w:rsidP="00016C51">
      <w:pPr>
        <w:pStyle w:val="Heading1"/>
        <w:rPr>
          <w:color w:val="7E1144"/>
        </w:rPr>
      </w:pPr>
      <w:r>
        <w:rPr>
          <w:color w:val="7E1144"/>
        </w:rPr>
        <w:t>Full-</w:t>
      </w:r>
      <w:bookmarkStart w:id="0" w:name="_GoBack"/>
      <w:r>
        <w:rPr>
          <w:color w:val="7E1144"/>
        </w:rPr>
        <w:t xml:space="preserve">year </w:t>
      </w:r>
      <w:r w:rsidR="00016C51" w:rsidRPr="00D82769">
        <w:rPr>
          <w:color w:val="7E1144"/>
        </w:rPr>
        <w:t>p</w:t>
      </w:r>
      <w:r w:rsidR="004B4544" w:rsidRPr="00D82769">
        <w:rPr>
          <w:color w:val="7E1144"/>
        </w:rPr>
        <w:t>lan: Mathematics and Statistics</w:t>
      </w:r>
      <w:r w:rsidR="00016C51" w:rsidRPr="00D82769">
        <w:rPr>
          <w:color w:val="7E1144"/>
        </w:rPr>
        <w:t xml:space="preserve">, </w:t>
      </w:r>
      <w:r w:rsidR="00EB440B" w:rsidRPr="00D82769">
        <w:rPr>
          <w:color w:val="7E1144"/>
        </w:rPr>
        <w:t>early</w:t>
      </w:r>
      <w:r w:rsidR="00016C51" w:rsidRPr="00D82769">
        <w:rPr>
          <w:color w:val="7E1144"/>
        </w:rPr>
        <w:t xml:space="preserve"> level </w:t>
      </w:r>
      <w:r w:rsidR="008B2032" w:rsidRPr="00D82769">
        <w:rPr>
          <w:color w:val="7E1144"/>
        </w:rPr>
        <w:t>four</w:t>
      </w:r>
    </w:p>
    <w:bookmarkEnd w:id="0"/>
    <w:p w14:paraId="645FCDF6" w14:textId="77777777" w:rsidR="00D83645" w:rsidRPr="00D83645" w:rsidRDefault="00D83645" w:rsidP="00D83645"/>
    <w:tbl>
      <w:tblPr>
        <w:tblStyle w:val="TableGrid"/>
        <w:tblW w:w="0" w:type="auto"/>
        <w:tblLook w:val="04A0" w:firstRow="1" w:lastRow="0" w:firstColumn="1" w:lastColumn="0" w:noHBand="0" w:noVBand="1"/>
      </w:tblPr>
      <w:tblGrid>
        <w:gridCol w:w="3566"/>
        <w:gridCol w:w="3567"/>
        <w:gridCol w:w="3566"/>
        <w:gridCol w:w="3567"/>
      </w:tblGrid>
      <w:tr w:rsidR="00D82769" w14:paraId="1D77BA74" w14:textId="77777777" w:rsidTr="00E877B3">
        <w:trPr>
          <w:trHeight w:val="678"/>
        </w:trPr>
        <w:tc>
          <w:tcPr>
            <w:tcW w:w="3566" w:type="dxa"/>
          </w:tcPr>
          <w:p w14:paraId="3E44B5B9" w14:textId="3B81998C" w:rsidR="00D82769" w:rsidRPr="00B815B5" w:rsidRDefault="00D82769" w:rsidP="00E276A4">
            <w:pPr>
              <w:spacing w:before="120" w:after="120"/>
              <w:jc w:val="center"/>
              <w:rPr>
                <w:sz w:val="24"/>
                <w:szCs w:val="24"/>
              </w:rPr>
            </w:pPr>
            <w:r w:rsidRPr="00B815B5">
              <w:rPr>
                <w:sz w:val="24"/>
                <w:szCs w:val="24"/>
              </w:rPr>
              <w:t>Term One</w:t>
            </w:r>
          </w:p>
        </w:tc>
        <w:tc>
          <w:tcPr>
            <w:tcW w:w="3567" w:type="dxa"/>
          </w:tcPr>
          <w:p w14:paraId="6CFC5804" w14:textId="2B394005" w:rsidR="00D82769" w:rsidRPr="00B815B5" w:rsidRDefault="00D82769" w:rsidP="00E276A4">
            <w:pPr>
              <w:spacing w:before="120" w:after="120"/>
              <w:jc w:val="center"/>
              <w:rPr>
                <w:sz w:val="24"/>
                <w:szCs w:val="24"/>
              </w:rPr>
            </w:pPr>
            <w:r w:rsidRPr="00B815B5">
              <w:rPr>
                <w:sz w:val="24"/>
                <w:szCs w:val="24"/>
              </w:rPr>
              <w:t>Term Two</w:t>
            </w:r>
          </w:p>
        </w:tc>
        <w:tc>
          <w:tcPr>
            <w:tcW w:w="3566" w:type="dxa"/>
          </w:tcPr>
          <w:p w14:paraId="27C97B2E" w14:textId="392CAE0A" w:rsidR="00D82769" w:rsidRPr="00B815B5" w:rsidRDefault="00D82769" w:rsidP="00E276A4">
            <w:pPr>
              <w:spacing w:before="120" w:after="120"/>
              <w:jc w:val="center"/>
              <w:rPr>
                <w:sz w:val="24"/>
                <w:szCs w:val="24"/>
              </w:rPr>
            </w:pPr>
            <w:r w:rsidRPr="00B815B5">
              <w:rPr>
                <w:sz w:val="24"/>
                <w:szCs w:val="24"/>
              </w:rPr>
              <w:t>Term Three</w:t>
            </w:r>
          </w:p>
        </w:tc>
        <w:tc>
          <w:tcPr>
            <w:tcW w:w="3567" w:type="dxa"/>
          </w:tcPr>
          <w:p w14:paraId="77875293" w14:textId="6681F7DE" w:rsidR="00D82769" w:rsidRPr="00B815B5" w:rsidRDefault="00D82769" w:rsidP="00E276A4">
            <w:pPr>
              <w:spacing w:before="120" w:after="120"/>
              <w:jc w:val="center"/>
              <w:rPr>
                <w:sz w:val="24"/>
                <w:szCs w:val="24"/>
              </w:rPr>
            </w:pPr>
            <w:r w:rsidRPr="00B815B5">
              <w:rPr>
                <w:sz w:val="24"/>
                <w:szCs w:val="24"/>
              </w:rPr>
              <w:t>Term Four</w:t>
            </w:r>
          </w:p>
        </w:tc>
      </w:tr>
      <w:tr w:rsidR="00D82769" w14:paraId="511C068B" w14:textId="77777777" w:rsidTr="00933F60">
        <w:trPr>
          <w:trHeight w:val="659"/>
        </w:trPr>
        <w:tc>
          <w:tcPr>
            <w:tcW w:w="3566" w:type="dxa"/>
            <w:vMerge w:val="restart"/>
            <w:shd w:val="clear" w:color="auto" w:fill="auto"/>
          </w:tcPr>
          <w:p w14:paraId="6197918B" w14:textId="2389F666" w:rsidR="00D82769" w:rsidRDefault="00D82769" w:rsidP="00EF64F4">
            <w:pPr>
              <w:spacing w:before="120" w:after="120"/>
              <w:jc w:val="center"/>
            </w:pPr>
            <w:hyperlink r:id="rId8" w:history="1">
              <w:r w:rsidRPr="00BC36C5">
                <w:rPr>
                  <w:rStyle w:val="Hyperlink"/>
                </w:rPr>
                <w:t>Figure me out</w:t>
              </w:r>
            </w:hyperlink>
            <w:r w:rsidRPr="00BC36C5">
              <w:t xml:space="preserve"> </w:t>
            </w:r>
          </w:p>
          <w:p w14:paraId="3D547E1A" w14:textId="2F2E7643" w:rsidR="00D82769" w:rsidRDefault="00D82769" w:rsidP="00F25661">
            <w:pPr>
              <w:spacing w:before="120" w:after="120"/>
              <w:jc w:val="center"/>
            </w:pPr>
            <w:r w:rsidRPr="00BC36C5">
              <w:t>(Thematic Unit)</w:t>
            </w:r>
          </w:p>
        </w:tc>
        <w:tc>
          <w:tcPr>
            <w:tcW w:w="3567" w:type="dxa"/>
            <w:vMerge w:val="restart"/>
            <w:shd w:val="clear" w:color="auto" w:fill="auto"/>
          </w:tcPr>
          <w:p w14:paraId="1116F752" w14:textId="75B35D54" w:rsidR="00D82769" w:rsidRPr="00BC36C5" w:rsidRDefault="00D82769" w:rsidP="00EF64F4">
            <w:pPr>
              <w:spacing w:before="120" w:after="120"/>
              <w:jc w:val="center"/>
              <w:rPr>
                <w:rStyle w:val="Hyperlink"/>
              </w:rPr>
            </w:pPr>
            <w:hyperlink r:id="rId9" w:history="1">
              <w:r w:rsidRPr="00BC36C5">
                <w:rPr>
                  <w:rStyle w:val="Hyperlink"/>
                </w:rPr>
                <w:t xml:space="preserve">Getting </w:t>
              </w:r>
              <w:r>
                <w:rPr>
                  <w:rStyle w:val="Hyperlink"/>
                </w:rPr>
                <w:t>p</w:t>
              </w:r>
              <w:r w:rsidRPr="00BC36C5">
                <w:rPr>
                  <w:rStyle w:val="Hyperlink"/>
                </w:rPr>
                <w:t xml:space="preserve">artial to </w:t>
              </w:r>
              <w:r>
                <w:rPr>
                  <w:rStyle w:val="Hyperlink"/>
                </w:rPr>
                <w:t>d</w:t>
              </w:r>
              <w:r w:rsidRPr="00BC36C5">
                <w:rPr>
                  <w:rStyle w:val="Hyperlink"/>
                </w:rPr>
                <w:t>ecimals</w:t>
              </w:r>
            </w:hyperlink>
          </w:p>
          <w:p w14:paraId="6D7670C0" w14:textId="0356F1C8" w:rsidR="00D82769" w:rsidRPr="009D1F60" w:rsidRDefault="00D82769" w:rsidP="00EF64F4">
            <w:pPr>
              <w:spacing w:before="120" w:after="120"/>
              <w:jc w:val="center"/>
            </w:pPr>
            <w:r w:rsidRPr="00BC36C5">
              <w:t>Addition and Subtraction of decimals</w:t>
            </w:r>
            <w:r>
              <w:t xml:space="preserve"> to three places)</w:t>
            </w:r>
          </w:p>
        </w:tc>
        <w:tc>
          <w:tcPr>
            <w:tcW w:w="3566" w:type="dxa"/>
            <w:vMerge w:val="restart"/>
          </w:tcPr>
          <w:p w14:paraId="198A9858" w14:textId="7A275C81" w:rsidR="00D82769" w:rsidRPr="00BC36C5" w:rsidRDefault="00D82769" w:rsidP="00EF64F4">
            <w:pPr>
              <w:spacing w:before="120" w:after="120"/>
              <w:jc w:val="center"/>
            </w:pPr>
            <w:hyperlink r:id="rId10" w:history="1">
              <w:r w:rsidRPr="00BC36C5">
                <w:rPr>
                  <w:rStyle w:val="Hyperlink"/>
                </w:rPr>
                <w:t xml:space="preserve">Areas and </w:t>
              </w:r>
              <w:r>
                <w:rPr>
                  <w:rStyle w:val="Hyperlink"/>
                </w:rPr>
                <w:t>v</w:t>
              </w:r>
              <w:r w:rsidRPr="00BC36C5">
                <w:rPr>
                  <w:rStyle w:val="Hyperlink"/>
                </w:rPr>
                <w:t>olumes</w:t>
              </w:r>
            </w:hyperlink>
            <w:r w:rsidRPr="00BC36C5">
              <w:t xml:space="preserve"> </w:t>
            </w:r>
          </w:p>
          <w:p w14:paraId="73D076A0" w14:textId="1CC95E3F" w:rsidR="00D82769" w:rsidRDefault="00D82769" w:rsidP="00F25661">
            <w:pPr>
              <w:spacing w:before="120" w:after="120"/>
              <w:jc w:val="center"/>
            </w:pPr>
            <w:r>
              <w:t>(</w:t>
            </w:r>
            <w:r w:rsidRPr="00BC36C5">
              <w:t>Areas of quadrilaterals, and triangles, volumes of cuboids</w:t>
            </w:r>
            <w:r>
              <w:t>)</w:t>
            </w:r>
          </w:p>
        </w:tc>
        <w:tc>
          <w:tcPr>
            <w:tcW w:w="3567" w:type="dxa"/>
            <w:vMerge w:val="restart"/>
          </w:tcPr>
          <w:p w14:paraId="15DC94A5" w14:textId="6E2F70DF" w:rsidR="00D82769" w:rsidRPr="00BC36C5" w:rsidRDefault="00D82769" w:rsidP="00EF64F4">
            <w:pPr>
              <w:spacing w:before="120" w:after="120"/>
              <w:jc w:val="center"/>
            </w:pPr>
            <w:hyperlink r:id="rId11" w:history="1">
              <w:r w:rsidRPr="00F25661">
                <w:rPr>
                  <w:rStyle w:val="Hyperlink"/>
                </w:rPr>
                <w:t>Representing 3D objects in 2D drawings</w:t>
              </w:r>
            </w:hyperlink>
          </w:p>
          <w:p w14:paraId="1F63C227" w14:textId="74314843" w:rsidR="00D82769" w:rsidRDefault="00D82769" w:rsidP="00F25661">
            <w:pPr>
              <w:spacing w:before="120" w:after="120"/>
              <w:jc w:val="center"/>
            </w:pPr>
            <w:r>
              <w:t>(</w:t>
            </w:r>
            <w:r w:rsidRPr="00BC36C5">
              <w:t>Geometry of 3D shapes, drawing 3D shapes in 2D</w:t>
            </w:r>
            <w:r>
              <w:t>)</w:t>
            </w:r>
          </w:p>
        </w:tc>
      </w:tr>
      <w:tr w:rsidR="00D82769" w14:paraId="0BD7A75E" w14:textId="77777777" w:rsidTr="00E877B3">
        <w:trPr>
          <w:trHeight w:val="640"/>
        </w:trPr>
        <w:tc>
          <w:tcPr>
            <w:tcW w:w="3566" w:type="dxa"/>
            <w:vMerge/>
            <w:shd w:val="clear" w:color="auto" w:fill="auto"/>
          </w:tcPr>
          <w:p w14:paraId="4F67C31D" w14:textId="77777777" w:rsidR="00D82769" w:rsidRDefault="00D82769" w:rsidP="00EF64F4">
            <w:pPr>
              <w:spacing w:before="120" w:after="120"/>
              <w:jc w:val="center"/>
            </w:pPr>
          </w:p>
        </w:tc>
        <w:tc>
          <w:tcPr>
            <w:tcW w:w="3567" w:type="dxa"/>
            <w:vMerge/>
            <w:shd w:val="clear" w:color="auto" w:fill="auto"/>
          </w:tcPr>
          <w:p w14:paraId="5AB50241" w14:textId="77777777" w:rsidR="00D82769" w:rsidRDefault="00D82769" w:rsidP="00EF64F4">
            <w:pPr>
              <w:spacing w:before="120" w:after="120"/>
              <w:jc w:val="center"/>
            </w:pPr>
          </w:p>
        </w:tc>
        <w:tc>
          <w:tcPr>
            <w:tcW w:w="3566" w:type="dxa"/>
            <w:vMerge/>
          </w:tcPr>
          <w:p w14:paraId="6D2465D5" w14:textId="77777777" w:rsidR="00D82769" w:rsidRDefault="00D82769" w:rsidP="00EF64F4">
            <w:pPr>
              <w:spacing w:before="120" w:after="120"/>
              <w:jc w:val="center"/>
            </w:pPr>
          </w:p>
        </w:tc>
        <w:tc>
          <w:tcPr>
            <w:tcW w:w="3567" w:type="dxa"/>
            <w:vMerge/>
          </w:tcPr>
          <w:p w14:paraId="28637DA3" w14:textId="77777777" w:rsidR="00D82769" w:rsidRDefault="00D82769" w:rsidP="00EF64F4">
            <w:pPr>
              <w:spacing w:before="120" w:after="120"/>
              <w:jc w:val="center"/>
            </w:pPr>
          </w:p>
        </w:tc>
      </w:tr>
      <w:tr w:rsidR="00D82769" w14:paraId="7019D7F9" w14:textId="77777777" w:rsidTr="00E877B3">
        <w:trPr>
          <w:trHeight w:val="659"/>
        </w:trPr>
        <w:tc>
          <w:tcPr>
            <w:tcW w:w="3566" w:type="dxa"/>
            <w:vMerge w:val="restart"/>
            <w:shd w:val="clear" w:color="auto" w:fill="auto"/>
          </w:tcPr>
          <w:p w14:paraId="1BCF9559" w14:textId="5AE11B67" w:rsidR="00D82769" w:rsidRPr="00BC36C5" w:rsidRDefault="00D82769" w:rsidP="00EF64F4">
            <w:pPr>
              <w:spacing w:before="120" w:after="120"/>
              <w:jc w:val="center"/>
            </w:pPr>
            <w:hyperlink r:id="rId12" w:history="1">
              <w:r w:rsidRPr="00BC36C5">
                <w:rPr>
                  <w:rStyle w:val="Hyperlink"/>
                </w:rPr>
                <w:t xml:space="preserve">Cuisenaire </w:t>
              </w:r>
              <w:r>
                <w:rPr>
                  <w:rStyle w:val="Hyperlink"/>
                </w:rPr>
                <w:t>r</w:t>
              </w:r>
              <w:r w:rsidRPr="00BC36C5">
                <w:rPr>
                  <w:rStyle w:val="Hyperlink"/>
                </w:rPr>
                <w:t xml:space="preserve">od </w:t>
              </w:r>
              <w:r>
                <w:rPr>
                  <w:rStyle w:val="Hyperlink"/>
                </w:rPr>
                <w:t>f</w:t>
              </w:r>
              <w:r w:rsidRPr="00BC36C5">
                <w:rPr>
                  <w:rStyle w:val="Hyperlink"/>
                </w:rPr>
                <w:t>raction</w:t>
              </w:r>
              <w:r>
                <w:rPr>
                  <w:rStyle w:val="Hyperlink"/>
                </w:rPr>
                <w:t>s: Level 4</w:t>
              </w:r>
            </w:hyperlink>
            <w:r w:rsidRPr="00BC36C5">
              <w:t xml:space="preserve"> </w:t>
            </w:r>
          </w:p>
          <w:p w14:paraId="07B2228E" w14:textId="3CF713B5" w:rsidR="00D82769" w:rsidRDefault="00D82769" w:rsidP="00EF64F4">
            <w:pPr>
              <w:spacing w:before="120" w:after="120"/>
              <w:jc w:val="center"/>
            </w:pPr>
            <w:r>
              <w:t>(</w:t>
            </w:r>
            <w:r w:rsidRPr="00BC36C5">
              <w:t>Ordering and comparing fractions</w:t>
            </w:r>
            <w:r>
              <w:t>)</w:t>
            </w:r>
          </w:p>
        </w:tc>
        <w:tc>
          <w:tcPr>
            <w:tcW w:w="3567" w:type="dxa"/>
            <w:vMerge w:val="restart"/>
            <w:shd w:val="clear" w:color="auto" w:fill="auto"/>
          </w:tcPr>
          <w:p w14:paraId="5948E52B" w14:textId="0E0C7FBB" w:rsidR="00D82769" w:rsidRPr="00BC36C5" w:rsidRDefault="00D82769" w:rsidP="00EF64F4">
            <w:pPr>
              <w:spacing w:before="120" w:after="120"/>
              <w:jc w:val="center"/>
              <w:rPr>
                <w:rStyle w:val="Hyperlink"/>
              </w:rPr>
            </w:pPr>
            <w:hyperlink r:id="rId13" w:history="1">
              <w:r w:rsidRPr="00BC36C5">
                <w:rPr>
                  <w:rStyle w:val="Hyperlink"/>
                </w:rPr>
                <w:t>Fitness</w:t>
              </w:r>
            </w:hyperlink>
            <w:r>
              <w:rPr>
                <w:rStyle w:val="Hyperlink"/>
              </w:rPr>
              <w:t xml:space="preserve"> </w:t>
            </w:r>
            <w:r w:rsidRPr="00BC36C5">
              <w:t>or</w:t>
            </w:r>
            <w:r>
              <w:t xml:space="preserve"> </w:t>
            </w:r>
            <w:hyperlink r:id="rId14" w:history="1">
              <w:r w:rsidRPr="00BC36C5">
                <w:rPr>
                  <w:rStyle w:val="Hyperlink"/>
                </w:rPr>
                <w:t>Tessellating art</w:t>
              </w:r>
            </w:hyperlink>
          </w:p>
          <w:p w14:paraId="57E4446D" w14:textId="6DBBD2CE" w:rsidR="00D82769" w:rsidRDefault="00D82769" w:rsidP="00EF64F4">
            <w:pPr>
              <w:spacing w:before="120" w:after="120"/>
              <w:jc w:val="center"/>
            </w:pPr>
            <w:r>
              <w:t>(</w:t>
            </w:r>
            <w:r w:rsidRPr="00BC36C5">
              <w:t>Two dimensional shapes, angles, properties, tessellation</w:t>
            </w:r>
            <w:r>
              <w:t>)</w:t>
            </w:r>
          </w:p>
        </w:tc>
        <w:tc>
          <w:tcPr>
            <w:tcW w:w="3566" w:type="dxa"/>
            <w:vMerge w:val="restart"/>
          </w:tcPr>
          <w:p w14:paraId="13473304" w14:textId="5845391C" w:rsidR="00D82769" w:rsidRPr="00BC36C5" w:rsidRDefault="00D82769" w:rsidP="00EF64F4">
            <w:pPr>
              <w:spacing w:before="120" w:after="120"/>
              <w:jc w:val="center"/>
            </w:pPr>
            <w:hyperlink r:id="rId15" w:history="1">
              <w:r w:rsidRPr="00BC36C5">
                <w:rPr>
                  <w:rStyle w:val="Hyperlink"/>
                </w:rPr>
                <w:t xml:space="preserve">Equivalent </w:t>
              </w:r>
              <w:r>
                <w:rPr>
                  <w:rStyle w:val="Hyperlink"/>
                </w:rPr>
                <w:t>f</w:t>
              </w:r>
              <w:r w:rsidRPr="00BC36C5">
                <w:rPr>
                  <w:rStyle w:val="Hyperlink"/>
                </w:rPr>
                <w:t>ractions</w:t>
              </w:r>
            </w:hyperlink>
            <w:r w:rsidRPr="00BC36C5">
              <w:t xml:space="preserve"> </w:t>
            </w:r>
          </w:p>
          <w:p w14:paraId="6B21F531" w14:textId="4B83DD30" w:rsidR="00D82769" w:rsidRDefault="00D82769" w:rsidP="00EF64F4">
            <w:pPr>
              <w:spacing w:before="120" w:after="120"/>
              <w:jc w:val="center"/>
            </w:pPr>
            <w:r>
              <w:t>(</w:t>
            </w:r>
            <w:r w:rsidRPr="00BC36C5">
              <w:t>Equivalent fractions as numbers, fractions of sets, equal sharing</w:t>
            </w:r>
            <w:r>
              <w:t>)</w:t>
            </w:r>
          </w:p>
        </w:tc>
        <w:tc>
          <w:tcPr>
            <w:tcW w:w="3567" w:type="dxa"/>
            <w:vMerge w:val="restart"/>
          </w:tcPr>
          <w:p w14:paraId="74C9D5B2" w14:textId="67FEBBA1" w:rsidR="00D82769" w:rsidRPr="00BC36C5" w:rsidRDefault="00D82769" w:rsidP="00EF64F4">
            <w:pPr>
              <w:spacing w:before="120" w:after="120"/>
              <w:jc w:val="center"/>
            </w:pPr>
            <w:hyperlink r:id="rId16" w:history="1">
              <w:r w:rsidRPr="00BC36C5">
                <w:rPr>
                  <w:rStyle w:val="Hyperlink"/>
                </w:rPr>
                <w:t>Balancing Acts</w:t>
              </w:r>
            </w:hyperlink>
            <w:r w:rsidRPr="00BC36C5">
              <w:t xml:space="preserve"> </w:t>
            </w:r>
          </w:p>
          <w:p w14:paraId="10C852B6" w14:textId="21AE2715" w:rsidR="00D82769" w:rsidRDefault="00D82769" w:rsidP="00EF64F4">
            <w:pPr>
              <w:spacing w:before="120" w:after="120"/>
              <w:jc w:val="center"/>
            </w:pPr>
            <w:r>
              <w:t>(</w:t>
            </w:r>
            <w:r w:rsidRPr="00BC36C5">
              <w:t>Expressing relationships using algebraic symbols</w:t>
            </w:r>
            <w:r>
              <w:t>)</w:t>
            </w:r>
          </w:p>
        </w:tc>
      </w:tr>
      <w:tr w:rsidR="00D82769" w14:paraId="7B182E7D" w14:textId="77777777" w:rsidTr="00E877B3">
        <w:trPr>
          <w:trHeight w:val="640"/>
        </w:trPr>
        <w:tc>
          <w:tcPr>
            <w:tcW w:w="3566" w:type="dxa"/>
            <w:vMerge/>
            <w:shd w:val="clear" w:color="auto" w:fill="auto"/>
          </w:tcPr>
          <w:p w14:paraId="70AED9A0" w14:textId="10F9A05B" w:rsidR="00D82769" w:rsidRDefault="00D82769" w:rsidP="00EF64F4">
            <w:pPr>
              <w:spacing w:before="120" w:after="120"/>
              <w:jc w:val="center"/>
            </w:pPr>
          </w:p>
        </w:tc>
        <w:tc>
          <w:tcPr>
            <w:tcW w:w="3567" w:type="dxa"/>
            <w:vMerge/>
            <w:shd w:val="clear" w:color="auto" w:fill="auto"/>
          </w:tcPr>
          <w:p w14:paraId="7EDFC476" w14:textId="77777777" w:rsidR="00D82769" w:rsidRDefault="00D82769" w:rsidP="00EF64F4">
            <w:pPr>
              <w:spacing w:before="120" w:after="120"/>
              <w:jc w:val="center"/>
            </w:pPr>
          </w:p>
        </w:tc>
        <w:tc>
          <w:tcPr>
            <w:tcW w:w="3566" w:type="dxa"/>
            <w:vMerge/>
          </w:tcPr>
          <w:p w14:paraId="6980CE16" w14:textId="77777777" w:rsidR="00D82769" w:rsidRDefault="00D82769" w:rsidP="00EF64F4">
            <w:pPr>
              <w:spacing w:before="120" w:after="120"/>
              <w:jc w:val="center"/>
            </w:pPr>
          </w:p>
        </w:tc>
        <w:tc>
          <w:tcPr>
            <w:tcW w:w="3567" w:type="dxa"/>
            <w:vMerge/>
          </w:tcPr>
          <w:p w14:paraId="0D6F1F80" w14:textId="77777777" w:rsidR="00D82769" w:rsidRDefault="00D82769" w:rsidP="00EF64F4">
            <w:pPr>
              <w:spacing w:before="120" w:after="120"/>
              <w:jc w:val="center"/>
            </w:pPr>
          </w:p>
        </w:tc>
      </w:tr>
      <w:tr w:rsidR="00D82769" w14:paraId="530ACF84" w14:textId="77777777" w:rsidTr="00E877B3">
        <w:trPr>
          <w:trHeight w:val="659"/>
        </w:trPr>
        <w:tc>
          <w:tcPr>
            <w:tcW w:w="3566" w:type="dxa"/>
            <w:vMerge w:val="restart"/>
            <w:shd w:val="clear" w:color="auto" w:fill="auto"/>
          </w:tcPr>
          <w:p w14:paraId="2C262F75" w14:textId="1DD059E4" w:rsidR="00D82769" w:rsidRPr="00BC36C5" w:rsidRDefault="00D82769" w:rsidP="00EF64F4">
            <w:pPr>
              <w:spacing w:before="120" w:after="120"/>
              <w:jc w:val="center"/>
            </w:pPr>
            <w:hyperlink r:id="rId17" w:history="1">
              <w:r w:rsidRPr="00BC36C5">
                <w:rPr>
                  <w:rStyle w:val="Hyperlink"/>
                </w:rPr>
                <w:t>Cool times with heat</w:t>
              </w:r>
            </w:hyperlink>
          </w:p>
          <w:p w14:paraId="7C8AAF59" w14:textId="31F27173" w:rsidR="00D82769" w:rsidRDefault="00D82769" w:rsidP="00EF64F4">
            <w:pPr>
              <w:spacing w:before="120" w:after="120"/>
              <w:jc w:val="center"/>
            </w:pPr>
            <w:r>
              <w:t>(</w:t>
            </w:r>
            <w:r w:rsidRPr="00BC36C5">
              <w:t>Measuring temperature</w:t>
            </w:r>
            <w:r>
              <w:t>)</w:t>
            </w:r>
          </w:p>
        </w:tc>
        <w:tc>
          <w:tcPr>
            <w:tcW w:w="3567" w:type="dxa"/>
            <w:vMerge w:val="restart"/>
            <w:shd w:val="clear" w:color="auto" w:fill="auto"/>
          </w:tcPr>
          <w:p w14:paraId="4D8B9334" w14:textId="3ECEA37C" w:rsidR="00D82769" w:rsidRPr="00BC36C5" w:rsidRDefault="00D82769" w:rsidP="00EF64F4">
            <w:pPr>
              <w:spacing w:before="120" w:after="120"/>
              <w:jc w:val="center"/>
            </w:pPr>
            <w:hyperlink r:id="rId18" w:history="1">
              <w:r w:rsidRPr="00F25661">
                <w:rPr>
                  <w:rStyle w:val="Hyperlink"/>
                </w:rPr>
                <w:t>What are the chances?</w:t>
              </w:r>
            </w:hyperlink>
          </w:p>
          <w:p w14:paraId="6F75EE1A" w14:textId="599310AF" w:rsidR="00D82769" w:rsidRDefault="00D82769" w:rsidP="00EF64F4">
            <w:pPr>
              <w:spacing w:before="120" w:after="120"/>
              <w:jc w:val="center"/>
            </w:pPr>
            <w:r>
              <w:t>(</w:t>
            </w:r>
            <w:r w:rsidRPr="00BC36C5">
              <w:t>Probability</w:t>
            </w:r>
            <w:r>
              <w:t>)</w:t>
            </w:r>
          </w:p>
        </w:tc>
        <w:tc>
          <w:tcPr>
            <w:tcW w:w="3566" w:type="dxa"/>
            <w:vMerge w:val="restart"/>
          </w:tcPr>
          <w:p w14:paraId="5EAB42A8" w14:textId="1CE5C468" w:rsidR="00D82769" w:rsidRPr="00EF64F4" w:rsidRDefault="00D82769" w:rsidP="00EF64F4">
            <w:pPr>
              <w:spacing w:before="120" w:after="120"/>
              <w:jc w:val="center"/>
              <w:rPr>
                <w:rStyle w:val="Hyperlink"/>
              </w:rPr>
            </w:pPr>
            <w:r>
              <w:fldChar w:fldCharType="begin"/>
            </w:r>
            <w:r>
              <w:instrText>HYPERLINK "https://nzmaths.co.nz/node/167"</w:instrText>
            </w:r>
            <w:r>
              <w:fldChar w:fldCharType="separate"/>
            </w:r>
            <w:r w:rsidRPr="00EF64F4">
              <w:rPr>
                <w:rStyle w:val="Hyperlink"/>
              </w:rPr>
              <w:t xml:space="preserve">Travel to </w:t>
            </w:r>
            <w:r>
              <w:rPr>
                <w:rStyle w:val="Hyperlink"/>
              </w:rPr>
              <w:t>s</w:t>
            </w:r>
            <w:r w:rsidRPr="00EF64F4">
              <w:rPr>
                <w:rStyle w:val="Hyperlink"/>
              </w:rPr>
              <w:t>chool</w:t>
            </w:r>
          </w:p>
          <w:p w14:paraId="1A3C568E" w14:textId="29A8CB16" w:rsidR="00D82769" w:rsidRDefault="00D82769" w:rsidP="00EF64F4">
            <w:pPr>
              <w:spacing w:before="120" w:after="120"/>
              <w:jc w:val="center"/>
            </w:pPr>
            <w:r>
              <w:fldChar w:fldCharType="end"/>
            </w:r>
            <w:r>
              <w:t>(</w:t>
            </w:r>
            <w:r w:rsidRPr="00BC36C5">
              <w:t>Statistical inquiry cycle with category data</w:t>
            </w:r>
            <w:r>
              <w:t>)</w:t>
            </w:r>
          </w:p>
        </w:tc>
        <w:tc>
          <w:tcPr>
            <w:tcW w:w="3567" w:type="dxa"/>
            <w:vMerge w:val="restart"/>
          </w:tcPr>
          <w:p w14:paraId="27E2EE19" w14:textId="1A1E2271" w:rsidR="00D82769" w:rsidRPr="00CC3781" w:rsidRDefault="00D82769" w:rsidP="00EF64F4">
            <w:pPr>
              <w:spacing w:before="120" w:after="120"/>
              <w:jc w:val="center"/>
              <w:rPr>
                <w:rStyle w:val="Hyperlink"/>
              </w:rPr>
            </w:pPr>
            <w:hyperlink r:id="rId19" w:history="1">
              <w:r w:rsidRPr="00CC3781">
                <w:rPr>
                  <w:rStyle w:val="Hyperlink"/>
                </w:rPr>
                <w:t xml:space="preserve">Getting </w:t>
              </w:r>
              <w:r>
                <w:rPr>
                  <w:rStyle w:val="Hyperlink"/>
                </w:rPr>
                <w:t>p</w:t>
              </w:r>
              <w:r w:rsidRPr="00CC3781">
                <w:rPr>
                  <w:rStyle w:val="Hyperlink"/>
                </w:rPr>
                <w:t xml:space="preserve">artial to </w:t>
              </w:r>
              <w:r>
                <w:rPr>
                  <w:rStyle w:val="Hyperlink"/>
                </w:rPr>
                <w:t>f</w:t>
              </w:r>
              <w:r w:rsidRPr="00CC3781">
                <w:rPr>
                  <w:rStyle w:val="Hyperlink"/>
                </w:rPr>
                <w:t>ractions</w:t>
              </w:r>
            </w:hyperlink>
          </w:p>
          <w:p w14:paraId="17D149D9" w14:textId="311E041B" w:rsidR="00D82769" w:rsidRDefault="00D82769" w:rsidP="00EF64F4">
            <w:pPr>
              <w:spacing w:before="120" w:after="120"/>
              <w:jc w:val="center"/>
            </w:pPr>
            <w:r>
              <w:t>(</w:t>
            </w:r>
            <w:r w:rsidRPr="00CC3781">
              <w:t>Fractional numbers</w:t>
            </w:r>
            <w:r>
              <w:t>)</w:t>
            </w:r>
          </w:p>
        </w:tc>
      </w:tr>
      <w:tr w:rsidR="00D82769" w14:paraId="12B38463" w14:textId="77777777" w:rsidTr="00E877B3">
        <w:trPr>
          <w:trHeight w:val="659"/>
        </w:trPr>
        <w:tc>
          <w:tcPr>
            <w:tcW w:w="3566" w:type="dxa"/>
            <w:vMerge/>
            <w:shd w:val="clear" w:color="auto" w:fill="auto"/>
          </w:tcPr>
          <w:p w14:paraId="6CCE0654" w14:textId="5F743384" w:rsidR="00D82769" w:rsidRDefault="00D82769" w:rsidP="00EF64F4">
            <w:pPr>
              <w:spacing w:before="120" w:after="120"/>
              <w:jc w:val="center"/>
            </w:pPr>
          </w:p>
        </w:tc>
        <w:tc>
          <w:tcPr>
            <w:tcW w:w="3567" w:type="dxa"/>
            <w:vMerge/>
            <w:shd w:val="clear" w:color="auto" w:fill="auto"/>
          </w:tcPr>
          <w:p w14:paraId="36D5C76B" w14:textId="77777777" w:rsidR="00D82769" w:rsidRDefault="00D82769" w:rsidP="00EF64F4">
            <w:pPr>
              <w:spacing w:before="120" w:after="120"/>
              <w:jc w:val="center"/>
            </w:pPr>
          </w:p>
        </w:tc>
        <w:tc>
          <w:tcPr>
            <w:tcW w:w="3566" w:type="dxa"/>
            <w:vMerge/>
          </w:tcPr>
          <w:p w14:paraId="425013EF" w14:textId="1FA5414E" w:rsidR="00D82769" w:rsidRDefault="00D82769" w:rsidP="00EF64F4">
            <w:pPr>
              <w:spacing w:before="120" w:after="120"/>
              <w:jc w:val="center"/>
            </w:pPr>
          </w:p>
        </w:tc>
        <w:tc>
          <w:tcPr>
            <w:tcW w:w="3567" w:type="dxa"/>
            <w:vMerge/>
          </w:tcPr>
          <w:p w14:paraId="15199D48" w14:textId="0245A95F" w:rsidR="00D82769" w:rsidRDefault="00D82769" w:rsidP="00EF64F4">
            <w:pPr>
              <w:spacing w:before="120" w:after="120"/>
              <w:jc w:val="center"/>
            </w:pPr>
          </w:p>
        </w:tc>
      </w:tr>
      <w:tr w:rsidR="00D82769" w14:paraId="7A7A496E" w14:textId="77777777" w:rsidTr="00E877B3">
        <w:trPr>
          <w:trHeight w:val="640"/>
        </w:trPr>
        <w:tc>
          <w:tcPr>
            <w:tcW w:w="3566" w:type="dxa"/>
            <w:vMerge w:val="restart"/>
            <w:shd w:val="clear" w:color="auto" w:fill="auto"/>
          </w:tcPr>
          <w:p w14:paraId="31F5911B" w14:textId="13E631BD" w:rsidR="00D82769" w:rsidRPr="00BC36C5" w:rsidRDefault="00D82769" w:rsidP="00EF64F4">
            <w:pPr>
              <w:spacing w:before="120" w:after="120"/>
              <w:jc w:val="center"/>
              <w:rPr>
                <w:rStyle w:val="Hyperlink"/>
              </w:rPr>
            </w:pPr>
            <w:hyperlink r:id="rId20" w:history="1">
              <w:r w:rsidRPr="00BC36C5">
                <w:rPr>
                  <w:rStyle w:val="Hyperlink"/>
                </w:rPr>
                <w:t xml:space="preserve">What’s going on? Properties of </w:t>
              </w:r>
              <w:r>
                <w:rPr>
                  <w:rStyle w:val="Hyperlink"/>
                </w:rPr>
                <w:t>m</w:t>
              </w:r>
              <w:r w:rsidRPr="00BC36C5">
                <w:rPr>
                  <w:rStyle w:val="Hyperlink"/>
                </w:rPr>
                <w:t xml:space="preserve">ultiplication and </w:t>
              </w:r>
              <w:r>
                <w:rPr>
                  <w:rStyle w:val="Hyperlink"/>
                </w:rPr>
                <w:t>d</w:t>
              </w:r>
              <w:r w:rsidRPr="00BC36C5">
                <w:rPr>
                  <w:rStyle w:val="Hyperlink"/>
                </w:rPr>
                <w:t>ivision.</w:t>
              </w:r>
            </w:hyperlink>
          </w:p>
          <w:p w14:paraId="3FCC7359" w14:textId="14F91049" w:rsidR="00D82769" w:rsidRDefault="00D82769" w:rsidP="00EF64F4">
            <w:pPr>
              <w:spacing w:before="120" w:after="120"/>
              <w:jc w:val="center"/>
            </w:pPr>
            <w:r>
              <w:rPr>
                <w:rStyle w:val="Hyperlink"/>
                <w:color w:val="auto"/>
                <w:u w:val="none"/>
              </w:rPr>
              <w:t>(</w:t>
            </w:r>
            <w:r w:rsidRPr="00BC36C5">
              <w:rPr>
                <w:rStyle w:val="Hyperlink"/>
                <w:color w:val="auto"/>
                <w:u w:val="none"/>
              </w:rPr>
              <w:t>Multiplication and division of whole numbers</w:t>
            </w:r>
            <w:r>
              <w:rPr>
                <w:rStyle w:val="Hyperlink"/>
                <w:color w:val="auto"/>
                <w:u w:val="none"/>
              </w:rPr>
              <w:t>)</w:t>
            </w:r>
          </w:p>
        </w:tc>
        <w:tc>
          <w:tcPr>
            <w:tcW w:w="3567" w:type="dxa"/>
            <w:vMerge w:val="restart"/>
            <w:shd w:val="clear" w:color="auto" w:fill="auto"/>
          </w:tcPr>
          <w:p w14:paraId="1B1CEE0B" w14:textId="4E4DC8F9" w:rsidR="00D82769" w:rsidRPr="00BC36C5" w:rsidRDefault="00D82769" w:rsidP="00EF64F4">
            <w:pPr>
              <w:spacing w:before="120" w:after="120"/>
              <w:jc w:val="center"/>
              <w:rPr>
                <w:rStyle w:val="Hyperlink"/>
              </w:rPr>
            </w:pPr>
            <w:hyperlink r:id="rId21" w:history="1">
              <w:r w:rsidRPr="00BC36C5">
                <w:rPr>
                  <w:rStyle w:val="Hyperlink"/>
                </w:rPr>
                <w:t xml:space="preserve">Down on the </w:t>
              </w:r>
              <w:r>
                <w:rPr>
                  <w:rStyle w:val="Hyperlink"/>
                </w:rPr>
                <w:t>f</w:t>
              </w:r>
              <w:r w:rsidRPr="00BC36C5">
                <w:rPr>
                  <w:rStyle w:val="Hyperlink"/>
                </w:rPr>
                <w:t>arm</w:t>
              </w:r>
            </w:hyperlink>
          </w:p>
          <w:p w14:paraId="217206AF" w14:textId="79F4007B" w:rsidR="00D82769" w:rsidRDefault="00D82769" w:rsidP="00EF64F4">
            <w:pPr>
              <w:tabs>
                <w:tab w:val="left" w:pos="1080"/>
                <w:tab w:val="center" w:pos="1675"/>
              </w:tabs>
              <w:spacing w:before="120" w:after="120"/>
              <w:jc w:val="center"/>
            </w:pPr>
            <w:r>
              <w:rPr>
                <w:rStyle w:val="Hyperlink"/>
                <w:color w:val="auto"/>
                <w:u w:val="none"/>
              </w:rPr>
              <w:t>(</w:t>
            </w:r>
            <w:r w:rsidRPr="00BC36C5">
              <w:rPr>
                <w:rStyle w:val="Hyperlink"/>
                <w:color w:val="auto"/>
                <w:u w:val="none"/>
              </w:rPr>
              <w:t>Linear relationships, tables, graphs, equations, word rules</w:t>
            </w:r>
            <w:r>
              <w:rPr>
                <w:rStyle w:val="Hyperlink"/>
                <w:color w:val="auto"/>
                <w:u w:val="none"/>
              </w:rPr>
              <w:t>)</w:t>
            </w:r>
          </w:p>
        </w:tc>
        <w:tc>
          <w:tcPr>
            <w:tcW w:w="3566" w:type="dxa"/>
            <w:vMerge w:val="restart"/>
          </w:tcPr>
          <w:p w14:paraId="31378B53" w14:textId="4FCDFCE7" w:rsidR="00D82769" w:rsidRPr="00BC36C5" w:rsidRDefault="00D82769" w:rsidP="00EF64F4">
            <w:pPr>
              <w:spacing w:before="120" w:after="120"/>
              <w:jc w:val="center"/>
              <w:rPr>
                <w:rStyle w:val="Hyperlink"/>
              </w:rPr>
            </w:pPr>
            <w:hyperlink r:id="rId22" w:history="1">
              <w:r w:rsidRPr="00BC36C5">
                <w:rPr>
                  <w:rStyle w:val="Hyperlink"/>
                </w:rPr>
                <w:t xml:space="preserve">Getting </w:t>
              </w:r>
              <w:r>
                <w:rPr>
                  <w:rStyle w:val="Hyperlink"/>
                </w:rPr>
                <w:t>p</w:t>
              </w:r>
              <w:r w:rsidRPr="00BC36C5">
                <w:rPr>
                  <w:rStyle w:val="Hyperlink"/>
                </w:rPr>
                <w:t>artial</w:t>
              </w:r>
              <w:r>
                <w:rPr>
                  <w:rStyle w:val="Hyperlink"/>
                </w:rPr>
                <w:t>: F</w:t>
              </w:r>
              <w:r w:rsidRPr="00BC36C5">
                <w:rPr>
                  <w:rStyle w:val="Hyperlink"/>
                </w:rPr>
                <w:t xml:space="preserve">ractions of </w:t>
              </w:r>
              <w:r>
                <w:rPr>
                  <w:rStyle w:val="Hyperlink"/>
                </w:rPr>
                <w:t>s</w:t>
              </w:r>
              <w:r w:rsidRPr="00BC36C5">
                <w:rPr>
                  <w:rStyle w:val="Hyperlink"/>
                </w:rPr>
                <w:t>ets</w:t>
              </w:r>
            </w:hyperlink>
          </w:p>
          <w:p w14:paraId="2E7729E3" w14:textId="20C37901" w:rsidR="00D82769" w:rsidRDefault="00D82769" w:rsidP="00EF64F4">
            <w:pPr>
              <w:spacing w:before="120" w:after="120"/>
              <w:jc w:val="center"/>
            </w:pPr>
            <w:r>
              <w:rPr>
                <w:rStyle w:val="Hyperlink"/>
                <w:color w:val="auto"/>
                <w:u w:val="none"/>
              </w:rPr>
              <w:t>(</w:t>
            </w:r>
            <w:r w:rsidRPr="00BC36C5">
              <w:rPr>
                <w:rStyle w:val="Hyperlink"/>
                <w:color w:val="auto"/>
                <w:u w:val="none"/>
              </w:rPr>
              <w:t>Fractions as operators</w:t>
            </w:r>
            <w:r>
              <w:rPr>
                <w:rStyle w:val="Hyperlink"/>
                <w:color w:val="auto"/>
                <w:u w:val="none"/>
              </w:rPr>
              <w:t>)</w:t>
            </w:r>
          </w:p>
        </w:tc>
        <w:tc>
          <w:tcPr>
            <w:tcW w:w="3567" w:type="dxa"/>
            <w:vMerge w:val="restart"/>
          </w:tcPr>
          <w:p w14:paraId="08242F25" w14:textId="03BA40DB" w:rsidR="00D82769" w:rsidRPr="00BC36C5" w:rsidRDefault="00D82769" w:rsidP="00EF64F4">
            <w:pPr>
              <w:spacing w:before="120" w:after="120"/>
              <w:jc w:val="center"/>
            </w:pPr>
            <w:hyperlink r:id="rId23" w:history="1">
              <w:r w:rsidRPr="00BC36C5">
                <w:rPr>
                  <w:rStyle w:val="Hyperlink"/>
                </w:rPr>
                <w:t>Oranges</w:t>
              </w:r>
            </w:hyperlink>
            <w:r w:rsidRPr="00BC36C5">
              <w:t xml:space="preserve"> or </w:t>
            </w:r>
            <w:hyperlink r:id="rId24" w:history="1">
              <w:r w:rsidRPr="00BC36C5">
                <w:rPr>
                  <w:rStyle w:val="Hyperlink"/>
                </w:rPr>
                <w:t>Weighty Problems</w:t>
              </w:r>
            </w:hyperlink>
          </w:p>
          <w:p w14:paraId="2C8EB9CA" w14:textId="6790517A" w:rsidR="00D82769" w:rsidRDefault="00D82769" w:rsidP="00EF64F4">
            <w:pPr>
              <w:spacing w:before="120" w:after="120"/>
              <w:jc w:val="center"/>
            </w:pPr>
            <w:r>
              <w:t>(</w:t>
            </w:r>
            <w:r w:rsidRPr="00BC36C5">
              <w:t>Measurement of length, area, volume, capacity, mass</w:t>
            </w:r>
            <w:r>
              <w:t>)</w:t>
            </w:r>
          </w:p>
        </w:tc>
      </w:tr>
      <w:tr w:rsidR="00D82769" w14:paraId="05662A50" w14:textId="77777777" w:rsidTr="00E877B3">
        <w:trPr>
          <w:trHeight w:val="659"/>
        </w:trPr>
        <w:tc>
          <w:tcPr>
            <w:tcW w:w="3566" w:type="dxa"/>
            <w:vMerge/>
          </w:tcPr>
          <w:p w14:paraId="3BFA3286" w14:textId="77777777" w:rsidR="00D82769" w:rsidRDefault="00D82769" w:rsidP="00EF64F4">
            <w:pPr>
              <w:spacing w:before="120" w:after="120"/>
              <w:jc w:val="center"/>
            </w:pPr>
          </w:p>
        </w:tc>
        <w:tc>
          <w:tcPr>
            <w:tcW w:w="3567" w:type="dxa"/>
            <w:vMerge/>
            <w:shd w:val="clear" w:color="auto" w:fill="auto"/>
          </w:tcPr>
          <w:p w14:paraId="08710B43" w14:textId="77777777" w:rsidR="00D82769" w:rsidRDefault="00D82769" w:rsidP="00EF64F4">
            <w:pPr>
              <w:spacing w:before="120" w:after="120"/>
              <w:jc w:val="center"/>
            </w:pPr>
          </w:p>
        </w:tc>
        <w:tc>
          <w:tcPr>
            <w:tcW w:w="3566" w:type="dxa"/>
            <w:vMerge/>
          </w:tcPr>
          <w:p w14:paraId="73C9AEE0" w14:textId="7B43D4CA" w:rsidR="00D82769" w:rsidRDefault="00D82769" w:rsidP="00EF64F4">
            <w:pPr>
              <w:spacing w:before="120" w:after="120"/>
              <w:jc w:val="center"/>
            </w:pPr>
          </w:p>
        </w:tc>
        <w:tc>
          <w:tcPr>
            <w:tcW w:w="3567" w:type="dxa"/>
            <w:vMerge/>
          </w:tcPr>
          <w:p w14:paraId="1B46C7A8" w14:textId="3D737513" w:rsidR="00D82769" w:rsidRDefault="00D82769" w:rsidP="00EF64F4">
            <w:pPr>
              <w:spacing w:before="120" w:after="120"/>
              <w:jc w:val="center"/>
            </w:pPr>
          </w:p>
        </w:tc>
      </w:tr>
      <w:tr w:rsidR="00D82769" w14:paraId="3764FC79" w14:textId="77777777" w:rsidTr="00E877B3">
        <w:trPr>
          <w:trHeight w:val="640"/>
        </w:trPr>
        <w:tc>
          <w:tcPr>
            <w:tcW w:w="3566" w:type="dxa"/>
            <w:vMerge w:val="restart"/>
          </w:tcPr>
          <w:p w14:paraId="595A5122" w14:textId="7539F6E6" w:rsidR="00D82769" w:rsidRPr="00BC36C5" w:rsidRDefault="00D82769" w:rsidP="00EF64F4">
            <w:pPr>
              <w:spacing w:before="120" w:after="120"/>
              <w:jc w:val="center"/>
            </w:pPr>
            <w:hyperlink r:id="rId25" w:history="1">
              <w:r w:rsidRPr="00BC36C5">
                <w:rPr>
                  <w:rStyle w:val="Hyperlink"/>
                </w:rPr>
                <w:t xml:space="preserve">Measuring </w:t>
              </w:r>
              <w:r>
                <w:rPr>
                  <w:rStyle w:val="Hyperlink"/>
                </w:rPr>
                <w:t>u</w:t>
              </w:r>
              <w:r w:rsidRPr="00BC36C5">
                <w:rPr>
                  <w:rStyle w:val="Hyperlink"/>
                </w:rPr>
                <w:t>p</w:t>
              </w:r>
            </w:hyperlink>
            <w:r w:rsidRPr="00BC36C5">
              <w:t xml:space="preserve"> </w:t>
            </w:r>
          </w:p>
          <w:p w14:paraId="1CC311B2" w14:textId="63AA3D28" w:rsidR="00D82769" w:rsidRDefault="00D82769" w:rsidP="00EF64F4">
            <w:pPr>
              <w:spacing w:before="120" w:after="120"/>
              <w:jc w:val="center"/>
            </w:pPr>
            <w:r>
              <w:t>(</w:t>
            </w:r>
            <w:r w:rsidRPr="00BC36C5">
              <w:t>Statistical Inquiry Cycle</w:t>
            </w:r>
            <w:r>
              <w:t>)</w:t>
            </w:r>
          </w:p>
        </w:tc>
        <w:tc>
          <w:tcPr>
            <w:tcW w:w="3567" w:type="dxa"/>
            <w:vMerge w:val="restart"/>
            <w:shd w:val="clear" w:color="auto" w:fill="auto"/>
          </w:tcPr>
          <w:p w14:paraId="0CF11F02" w14:textId="1A6CD2DF" w:rsidR="00D82769" w:rsidRPr="00BC36C5" w:rsidRDefault="00D82769" w:rsidP="00EF64F4">
            <w:pPr>
              <w:spacing w:before="120" w:after="120"/>
              <w:jc w:val="center"/>
            </w:pPr>
            <w:hyperlink r:id="rId26" w:history="1">
              <w:r w:rsidRPr="00BC36C5">
                <w:rPr>
                  <w:rStyle w:val="Hyperlink"/>
                </w:rPr>
                <w:t>Matariki</w:t>
              </w:r>
              <w:r>
                <w:rPr>
                  <w:rStyle w:val="Hyperlink"/>
                </w:rPr>
                <w:t xml:space="preserve"> -</w:t>
              </w:r>
              <w:r w:rsidRPr="00BC36C5">
                <w:rPr>
                  <w:rStyle w:val="Hyperlink"/>
                </w:rPr>
                <w:t xml:space="preserve"> </w:t>
              </w:r>
              <w:r>
                <w:rPr>
                  <w:rStyle w:val="Hyperlink"/>
                </w:rPr>
                <w:t>Level 4</w:t>
              </w:r>
            </w:hyperlink>
          </w:p>
          <w:p w14:paraId="028AA1E6" w14:textId="57D36E64" w:rsidR="00D82769" w:rsidRPr="005B33B0" w:rsidRDefault="00D82769" w:rsidP="00EF64F4">
            <w:pPr>
              <w:spacing w:before="120" w:after="120"/>
              <w:jc w:val="center"/>
            </w:pPr>
            <w:r w:rsidRPr="00BC36C5">
              <w:t>(Thematic Unit)</w:t>
            </w:r>
          </w:p>
        </w:tc>
        <w:tc>
          <w:tcPr>
            <w:tcW w:w="3566" w:type="dxa"/>
            <w:vMerge w:val="restart"/>
          </w:tcPr>
          <w:p w14:paraId="37A1F55E" w14:textId="48134E43" w:rsidR="00D82769" w:rsidRPr="00BC36C5" w:rsidRDefault="00D82769" w:rsidP="00EF64F4">
            <w:pPr>
              <w:spacing w:before="120" w:after="120"/>
              <w:jc w:val="center"/>
              <w:rPr>
                <w:rStyle w:val="Hyperlink"/>
              </w:rPr>
            </w:pPr>
            <w:hyperlink r:id="rId27" w:history="1">
              <w:r w:rsidRPr="00BC36C5">
                <w:rPr>
                  <w:rStyle w:val="Hyperlink"/>
                </w:rPr>
                <w:t xml:space="preserve">Marble </w:t>
              </w:r>
              <w:r>
                <w:rPr>
                  <w:rStyle w:val="Hyperlink"/>
                </w:rPr>
                <w:t>r</w:t>
              </w:r>
              <w:r w:rsidRPr="00BC36C5">
                <w:rPr>
                  <w:rStyle w:val="Hyperlink"/>
                </w:rPr>
                <w:t>oll</w:t>
              </w:r>
            </w:hyperlink>
          </w:p>
          <w:p w14:paraId="1B71ABEE" w14:textId="7B76AB66" w:rsidR="00D82769" w:rsidRDefault="00D82769" w:rsidP="00EF64F4">
            <w:pPr>
              <w:spacing w:before="120" w:after="120"/>
              <w:jc w:val="center"/>
            </w:pPr>
            <w:r>
              <w:rPr>
                <w:rStyle w:val="Hyperlink"/>
                <w:color w:val="auto"/>
                <w:u w:val="none"/>
              </w:rPr>
              <w:t>(</w:t>
            </w:r>
            <w:r w:rsidRPr="00BC36C5">
              <w:rPr>
                <w:rStyle w:val="Hyperlink"/>
                <w:color w:val="auto"/>
                <w:u w:val="none"/>
              </w:rPr>
              <w:t>Measurement of length and time, relationships between variables</w:t>
            </w:r>
            <w:r>
              <w:rPr>
                <w:rStyle w:val="Hyperlink"/>
                <w:color w:val="auto"/>
                <w:u w:val="none"/>
              </w:rPr>
              <w:t>)</w:t>
            </w:r>
          </w:p>
        </w:tc>
        <w:tc>
          <w:tcPr>
            <w:tcW w:w="3567" w:type="dxa"/>
            <w:vMerge w:val="restart"/>
          </w:tcPr>
          <w:p w14:paraId="1CA485E8" w14:textId="5C759098" w:rsidR="00D82769" w:rsidRPr="00BC36C5" w:rsidRDefault="00D82769" w:rsidP="00EF64F4">
            <w:pPr>
              <w:spacing w:before="120" w:after="120"/>
              <w:jc w:val="center"/>
              <w:rPr>
                <w:rStyle w:val="Hyperlink"/>
              </w:rPr>
            </w:pPr>
            <w:hyperlink r:id="rId28" w:history="1">
              <w:r w:rsidRPr="00BC36C5">
                <w:rPr>
                  <w:rStyle w:val="Hyperlink"/>
                </w:rPr>
                <w:t>Map It</w:t>
              </w:r>
            </w:hyperlink>
          </w:p>
          <w:p w14:paraId="72DD85DA" w14:textId="2692B513" w:rsidR="00D82769" w:rsidRDefault="00D82769" w:rsidP="00EF64F4">
            <w:pPr>
              <w:spacing w:before="120" w:after="120"/>
              <w:jc w:val="center"/>
            </w:pPr>
            <w:r>
              <w:rPr>
                <w:rStyle w:val="Hyperlink"/>
                <w:color w:val="000000" w:themeColor="text1"/>
                <w:u w:val="none"/>
              </w:rPr>
              <w:t>(</w:t>
            </w:r>
            <w:r w:rsidRPr="00BC36C5">
              <w:rPr>
                <w:rStyle w:val="Hyperlink"/>
                <w:color w:val="000000" w:themeColor="text1"/>
                <w:u w:val="none"/>
              </w:rPr>
              <w:t>Co-ordinates, Maps</w:t>
            </w:r>
            <w:r>
              <w:rPr>
                <w:rStyle w:val="Hyperlink"/>
                <w:color w:val="000000" w:themeColor="text1"/>
                <w:u w:val="none"/>
              </w:rPr>
              <w:t>)</w:t>
            </w:r>
          </w:p>
        </w:tc>
      </w:tr>
      <w:tr w:rsidR="00D82769" w14:paraId="05D54E5D" w14:textId="77777777" w:rsidTr="00E877B3">
        <w:trPr>
          <w:trHeight w:val="659"/>
        </w:trPr>
        <w:tc>
          <w:tcPr>
            <w:tcW w:w="3566" w:type="dxa"/>
            <w:vMerge/>
          </w:tcPr>
          <w:p w14:paraId="1ED670DA" w14:textId="77777777" w:rsidR="00D82769" w:rsidRDefault="00D82769" w:rsidP="002210B4">
            <w:pPr>
              <w:spacing w:before="120" w:after="120"/>
              <w:jc w:val="center"/>
            </w:pPr>
          </w:p>
        </w:tc>
        <w:tc>
          <w:tcPr>
            <w:tcW w:w="3567" w:type="dxa"/>
            <w:vMerge/>
            <w:shd w:val="clear" w:color="auto" w:fill="auto"/>
          </w:tcPr>
          <w:p w14:paraId="23B429CC" w14:textId="77777777" w:rsidR="00D82769" w:rsidRDefault="00D82769" w:rsidP="002210B4">
            <w:pPr>
              <w:spacing w:before="120" w:after="120"/>
              <w:jc w:val="center"/>
            </w:pPr>
          </w:p>
        </w:tc>
        <w:tc>
          <w:tcPr>
            <w:tcW w:w="3566" w:type="dxa"/>
            <w:vMerge/>
          </w:tcPr>
          <w:p w14:paraId="51B43F57" w14:textId="77777777" w:rsidR="00D82769" w:rsidRDefault="00D82769" w:rsidP="002210B4">
            <w:pPr>
              <w:spacing w:before="120" w:after="120"/>
              <w:jc w:val="center"/>
            </w:pPr>
          </w:p>
        </w:tc>
        <w:tc>
          <w:tcPr>
            <w:tcW w:w="3567" w:type="dxa"/>
            <w:vMerge/>
          </w:tcPr>
          <w:p w14:paraId="0AEECA58" w14:textId="77777777" w:rsidR="00D82769" w:rsidRDefault="00D82769" w:rsidP="002210B4">
            <w:pPr>
              <w:spacing w:before="120" w:after="120"/>
              <w:jc w:val="center"/>
            </w:pPr>
          </w:p>
        </w:tc>
      </w:tr>
    </w:tbl>
    <w:p w14:paraId="2F5441BF" w14:textId="2412E8B1" w:rsidR="00BD046C" w:rsidRDefault="00BD046C" w:rsidP="00010012">
      <w:pPr>
        <w:pStyle w:val="Heading2"/>
      </w:pPr>
    </w:p>
    <w:p w14:paraId="04759676" w14:textId="129A5F0B" w:rsidR="00D82769" w:rsidRPr="00D82769" w:rsidRDefault="00D82769" w:rsidP="00D82769">
      <w:bookmarkStart w:id="1" w:name="_Hlk59025804"/>
      <w:r>
        <w:t xml:space="preserve">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w:t>
      </w:r>
      <w:proofErr w:type="gramStart"/>
      <w:r>
        <w:t>sufficient</w:t>
      </w:r>
      <w:proofErr w:type="gramEnd"/>
      <w:r>
        <w:t xml:space="preserve"> teaching for a full year.</w:t>
      </w:r>
      <w:bookmarkEnd w:id="1"/>
    </w:p>
    <w:sectPr w:rsidR="00D82769" w:rsidRPr="00D82769" w:rsidSect="00010012">
      <w:headerReference w:type="default" r:id="rId29"/>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8BA2" w14:textId="77777777" w:rsidR="003A19E8" w:rsidRDefault="003A19E8" w:rsidP="00477330">
      <w:pPr>
        <w:spacing w:after="0" w:line="240" w:lineRule="auto"/>
      </w:pPr>
      <w:r>
        <w:separator/>
      </w:r>
    </w:p>
  </w:endnote>
  <w:endnote w:type="continuationSeparator" w:id="0">
    <w:p w14:paraId="324DE942" w14:textId="77777777" w:rsidR="003A19E8" w:rsidRDefault="003A19E8" w:rsidP="0047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B38B" w14:textId="57C94CAD" w:rsidR="00477330" w:rsidRDefault="00477330">
    <w:pPr>
      <w:pStyle w:val="Footer"/>
    </w:pPr>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All linked resources on nzmaths.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5ECF" w14:textId="77777777" w:rsidR="003A19E8" w:rsidRDefault="003A19E8" w:rsidP="00477330">
      <w:pPr>
        <w:spacing w:after="0" w:line="240" w:lineRule="auto"/>
      </w:pPr>
      <w:r>
        <w:separator/>
      </w:r>
    </w:p>
  </w:footnote>
  <w:footnote w:type="continuationSeparator" w:id="0">
    <w:p w14:paraId="1AFB9C8F" w14:textId="77777777" w:rsidR="003A19E8" w:rsidRDefault="003A19E8" w:rsidP="0047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D0C4" w14:textId="2E7B205C" w:rsidR="00477330" w:rsidRDefault="00477330" w:rsidP="00477330">
    <w:pPr>
      <w:pStyle w:val="Header"/>
      <w:jc w:val="right"/>
    </w:pPr>
    <w:r>
      <w:rPr>
        <w:noProof/>
      </w:rPr>
      <w:drawing>
        <wp:anchor distT="0" distB="0" distL="114300" distR="114300" simplePos="0" relativeHeight="251658240" behindDoc="0" locked="0" layoutInCell="1" allowOverlap="1" wp14:anchorId="449534F3" wp14:editId="549138EA">
          <wp:simplePos x="0" y="0"/>
          <wp:positionH relativeFrom="column">
            <wp:posOffset>7599872</wp:posOffset>
          </wp:positionH>
          <wp:positionV relativeFrom="paragraph">
            <wp:posOffset>-1006</wp:posOffset>
          </wp:positionV>
          <wp:extent cx="2175510" cy="52197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6"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0"/>
  </w:num>
  <w:num w:numId="4">
    <w:abstractNumId w:val="10"/>
  </w:num>
  <w:num w:numId="5">
    <w:abstractNumId w:val="16"/>
  </w:num>
  <w:num w:numId="6">
    <w:abstractNumId w:val="21"/>
  </w:num>
  <w:num w:numId="7">
    <w:abstractNumId w:val="14"/>
  </w:num>
  <w:num w:numId="8">
    <w:abstractNumId w:val="1"/>
  </w:num>
  <w:num w:numId="9">
    <w:abstractNumId w:val="2"/>
  </w:num>
  <w:num w:numId="10">
    <w:abstractNumId w:val="12"/>
  </w:num>
  <w:num w:numId="11">
    <w:abstractNumId w:val="18"/>
  </w:num>
  <w:num w:numId="12">
    <w:abstractNumId w:val="20"/>
  </w:num>
  <w:num w:numId="13">
    <w:abstractNumId w:val="7"/>
  </w:num>
  <w:num w:numId="14">
    <w:abstractNumId w:val="15"/>
  </w:num>
  <w:num w:numId="15">
    <w:abstractNumId w:val="13"/>
  </w:num>
  <w:num w:numId="16">
    <w:abstractNumId w:val="4"/>
  </w:num>
  <w:num w:numId="17">
    <w:abstractNumId w:val="6"/>
  </w:num>
  <w:num w:numId="18">
    <w:abstractNumId w:val="9"/>
  </w:num>
  <w:num w:numId="19">
    <w:abstractNumId w:val="17"/>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0012"/>
    <w:rsid w:val="00014E1A"/>
    <w:rsid w:val="00016C51"/>
    <w:rsid w:val="0003177C"/>
    <w:rsid w:val="000A6A28"/>
    <w:rsid w:val="00136112"/>
    <w:rsid w:val="001B0A5D"/>
    <w:rsid w:val="001D77D7"/>
    <w:rsid w:val="002210B4"/>
    <w:rsid w:val="002870C8"/>
    <w:rsid w:val="00292319"/>
    <w:rsid w:val="0035227E"/>
    <w:rsid w:val="003A19E8"/>
    <w:rsid w:val="003E2AF4"/>
    <w:rsid w:val="004114F3"/>
    <w:rsid w:val="00431276"/>
    <w:rsid w:val="00477330"/>
    <w:rsid w:val="00482D5A"/>
    <w:rsid w:val="00487FCF"/>
    <w:rsid w:val="00497EED"/>
    <w:rsid w:val="004B4544"/>
    <w:rsid w:val="00567C7D"/>
    <w:rsid w:val="005B33B0"/>
    <w:rsid w:val="0062232A"/>
    <w:rsid w:val="006B1D11"/>
    <w:rsid w:val="006C3124"/>
    <w:rsid w:val="006C563F"/>
    <w:rsid w:val="006D428D"/>
    <w:rsid w:val="006E398E"/>
    <w:rsid w:val="00722F53"/>
    <w:rsid w:val="00757FF0"/>
    <w:rsid w:val="0077202E"/>
    <w:rsid w:val="007F6482"/>
    <w:rsid w:val="008304C1"/>
    <w:rsid w:val="00830D74"/>
    <w:rsid w:val="00845A02"/>
    <w:rsid w:val="008B2032"/>
    <w:rsid w:val="008B5DBB"/>
    <w:rsid w:val="008C519F"/>
    <w:rsid w:val="008E0F23"/>
    <w:rsid w:val="009129A1"/>
    <w:rsid w:val="00933F60"/>
    <w:rsid w:val="009345BC"/>
    <w:rsid w:val="009554C4"/>
    <w:rsid w:val="009D1F60"/>
    <w:rsid w:val="00A03985"/>
    <w:rsid w:val="00A356C0"/>
    <w:rsid w:val="00AF79E2"/>
    <w:rsid w:val="00B55E0A"/>
    <w:rsid w:val="00B815B5"/>
    <w:rsid w:val="00B91F4B"/>
    <w:rsid w:val="00BD046C"/>
    <w:rsid w:val="00BD17ED"/>
    <w:rsid w:val="00C2559E"/>
    <w:rsid w:val="00C45D3B"/>
    <w:rsid w:val="00C8712A"/>
    <w:rsid w:val="00CD210E"/>
    <w:rsid w:val="00D30517"/>
    <w:rsid w:val="00D82769"/>
    <w:rsid w:val="00D83645"/>
    <w:rsid w:val="00D9217E"/>
    <w:rsid w:val="00DA0368"/>
    <w:rsid w:val="00DB2B3E"/>
    <w:rsid w:val="00E125EF"/>
    <w:rsid w:val="00E276A4"/>
    <w:rsid w:val="00E477B1"/>
    <w:rsid w:val="00E514A5"/>
    <w:rsid w:val="00E877B3"/>
    <w:rsid w:val="00EA7CBD"/>
    <w:rsid w:val="00EB05CE"/>
    <w:rsid w:val="00EB3F5C"/>
    <w:rsid w:val="00EB440B"/>
    <w:rsid w:val="00EF5E54"/>
    <w:rsid w:val="00EF64F4"/>
    <w:rsid w:val="00F25661"/>
    <w:rsid w:val="00F579EC"/>
    <w:rsid w:val="00FB5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character" w:styleId="FollowedHyperlink">
    <w:name w:val="FollowedHyperlink"/>
    <w:basedOn w:val="DefaultParagraphFont"/>
    <w:uiPriority w:val="99"/>
    <w:semiHidden/>
    <w:unhideWhenUsed/>
    <w:rsid w:val="00EA7CBD"/>
    <w:rPr>
      <w:color w:val="954F72" w:themeColor="followedHyperlink"/>
      <w:u w:val="single"/>
    </w:rPr>
  </w:style>
  <w:style w:type="paragraph" w:styleId="Header">
    <w:name w:val="header"/>
    <w:basedOn w:val="Normal"/>
    <w:link w:val="HeaderChar"/>
    <w:uiPriority w:val="99"/>
    <w:unhideWhenUsed/>
    <w:rsid w:val="0047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330"/>
  </w:style>
  <w:style w:type="paragraph" w:styleId="Footer">
    <w:name w:val="footer"/>
    <w:basedOn w:val="Normal"/>
    <w:link w:val="FooterChar"/>
    <w:uiPriority w:val="99"/>
    <w:unhideWhenUsed/>
    <w:rsid w:val="0047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723018591">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35760" TargetMode="External"/><Relationship Id="rId13" Type="http://schemas.openxmlformats.org/officeDocument/2006/relationships/hyperlink" Target="https://nzmaths.co.nz/node/184" TargetMode="External"/><Relationship Id="rId18" Type="http://schemas.openxmlformats.org/officeDocument/2006/relationships/hyperlink" Target="https://nzmaths.co.nz/node/38290" TargetMode="External"/><Relationship Id="rId26" Type="http://schemas.openxmlformats.org/officeDocument/2006/relationships/hyperlink" Target="https://nzmaths.co.nz/node/27013" TargetMode="External"/><Relationship Id="rId3" Type="http://schemas.openxmlformats.org/officeDocument/2006/relationships/styles" Target="styles.xml"/><Relationship Id="rId21" Type="http://schemas.openxmlformats.org/officeDocument/2006/relationships/hyperlink" Target="https://nzmaths.co.nz/node/27783" TargetMode="External"/><Relationship Id="rId7" Type="http://schemas.openxmlformats.org/officeDocument/2006/relationships/endnotes" Target="endnotes.xml"/><Relationship Id="rId12" Type="http://schemas.openxmlformats.org/officeDocument/2006/relationships/hyperlink" Target="https://nzmaths.co.nz/node/26998" TargetMode="External"/><Relationship Id="rId17" Type="http://schemas.openxmlformats.org/officeDocument/2006/relationships/hyperlink" Target="https://nzmaths.co.nz/node/819" TargetMode="External"/><Relationship Id="rId25" Type="http://schemas.openxmlformats.org/officeDocument/2006/relationships/hyperlink" Target="https://nzmaths.co.nz/node/165" TargetMode="External"/><Relationship Id="rId2" Type="http://schemas.openxmlformats.org/officeDocument/2006/relationships/numbering" Target="numbering.xml"/><Relationship Id="rId16" Type="http://schemas.openxmlformats.org/officeDocument/2006/relationships/hyperlink" Target="https://nzmaths.co.nz/node/389" TargetMode="External"/><Relationship Id="rId20" Type="http://schemas.openxmlformats.org/officeDocument/2006/relationships/hyperlink" Target="https://nzmaths.co.nz/node/3657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38391" TargetMode="External"/><Relationship Id="rId24" Type="http://schemas.openxmlformats.org/officeDocument/2006/relationships/hyperlink" Target="https://nzmaths.co.nz/node/8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zmaths.co.nz/node/841" TargetMode="External"/><Relationship Id="rId23" Type="http://schemas.openxmlformats.org/officeDocument/2006/relationships/hyperlink" Target="https://nzmaths.co.nz/node/793" TargetMode="External"/><Relationship Id="rId28" Type="http://schemas.openxmlformats.org/officeDocument/2006/relationships/hyperlink" Target="https://nzmaths.co.nz/node/201" TargetMode="External"/><Relationship Id="rId10" Type="http://schemas.openxmlformats.org/officeDocument/2006/relationships/hyperlink" Target="https://nzmaths.co.nz/node/38120" TargetMode="External"/><Relationship Id="rId19" Type="http://schemas.openxmlformats.org/officeDocument/2006/relationships/hyperlink" Target="https://nzmaths.co.nz/node/3613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zmaths.co.nz/node/36177" TargetMode="External"/><Relationship Id="rId14" Type="http://schemas.openxmlformats.org/officeDocument/2006/relationships/hyperlink" Target="https://nzmaths.co.nz/node/185" TargetMode="External"/><Relationship Id="rId22" Type="http://schemas.openxmlformats.org/officeDocument/2006/relationships/hyperlink" Target="https://nzmaths.co.nz/node/36300" TargetMode="External"/><Relationship Id="rId27" Type="http://schemas.openxmlformats.org/officeDocument/2006/relationships/hyperlink" Target="https://nzmaths.co.nz/node/17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4D1E-C9E8-4469-9198-B7AA6D8D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7</cp:revision>
  <cp:lastPrinted>2020-08-24T02:10:00Z</cp:lastPrinted>
  <dcterms:created xsi:type="dcterms:W3CDTF">2020-11-13T01:56:00Z</dcterms:created>
  <dcterms:modified xsi:type="dcterms:W3CDTF">2020-12-16T02:57:00Z</dcterms:modified>
</cp:coreProperties>
</file>